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EMP-DOC-P3-04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납기 연장(공기 연장) 신청서 및 면책사유 입증서 (EOT)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대외 클라우드 방화벽 정책 심의 대기에 따른 부분 마일스톤 일정 조정 및 지체상금 면책 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 (계약번호)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조정 대상 구간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4 대외 OCR/LLM API 실연동 구간 (전체 준공일 2026.10.31은 불변 유지)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외부 지연 일수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7영업일 (2026.08.03 ~ 2026.08.11, 그룹사 정보보호위원회 대외망 방화벽 정기 심의 대기)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면책 근거 조항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용역표준계약서 제3조 제3항 (발주처 보안 심의 및 인프라 제공 대기에 따른 면책)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외부 지연 발생 경위 및 객관적 입증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발생 일자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지연 원인 (계약상대자 비귀책 사유)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객관적 증빙 문서 번호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과업 및 우회 조치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지연 일수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2026.07.28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EKS 프라이빗 서브넷 → 외부 Clova OCR / Upstage API Outbound(443) 방화벽 오픈 신청서 적기 제출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EMP_DEG_091 (방화벽신청서 v1.0)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 기한(D-5) 준수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-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2026.08.03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그룹 정보보호위원회 월례 보안 심의 일정 변경으로 방화벽 정책 반영 7영업일 순연 통보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한빛보안-2026-0812호 공문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Mock 가상 서버로 선행 개발 지속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7영업일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2026.08.12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방화벽 정책 오픈 완료 및 실 API 연동 테스트 즉각 재개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IT인프라팀 작업완료 티켓 #4920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실 연동 테스트 3일 내 조기 완수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면책 확정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일정 만회 대책 및 면책 확인 합의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수행사(㈜엠파시)는 방화벽 개방 대기 기간(7영업일) 동안 OpenAPI 규격 기반 Mock 추론 서버를 가동하여 프론트엔드 및 백엔드 워크플로우 개발을 중단 없이 진행하였습니다.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발주처(㈜한빛글로벌)는 상기 7영업일의 대외 API 연동 순연이 그룹 보안 심의 일정에 기인한 수행사 면책 사유임을 공식 확인하며, 중간 기성 검수 일정에 불이익이나 지체상금을 부과하지 아니합니다.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13일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 PM)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사실 확인 (인프라)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(확인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승인권자 (계약담당)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구매전략팀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부장 송 민 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(면책 승인)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