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EMP-DOC-P5-03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SyncGuard AI 사용자 및 시스템 관리자 운영 매뉴얼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현업 마케터·심의관용 포털(FO) 활용 가이드 및 IT 운영자용 백오피스(BO)·인프라 일일 점검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시스템 명칭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SyncGuard AI (엔터프라이즈 AI 콘텐츠·규제 심의 자동화 시스템)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접속 URL 안내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사용자 포털(FO): https://syncguard.hanbitglobal.com | 관리자(BO): https://admin-syncguard.hanbitglobal.com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인증 방식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그룹웨어 통합인증 (HB-SSO OAuth 2.0 연동 — 별도 패스워드 불필요)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기술지원 헬프데스크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내선 1190 / syncguard-support@hanbitglobal.com / ㈜엠파시 기술지원팀 (02-850-9100)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일반 현업 사용자(마케터·심의관) 핵심 업무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업무 단계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 경로 (화면 ID)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조작 방법 및 실무 팁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1. 심의 접수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심의 실행 &gt; 신규 등록 (UI-FO-004)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브랜드(루미에르/벨르코어 등)와 제품코드(ProductLab 자동 연동)를 선택하고 홍보문안 텍스트 또는 PDF/이미지를 드래그 앤 드롭으로 업로드합니다.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2. OCR 영역 검수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심의 실행 &gt; OCR 미리보기 (UI-FO-006)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파서가 추출한 텍스트 박스를 좌우 분할 뷰어로 확인하며, 디자인 폰트 오인식 문구가 있을 경우 인라인 에디터로 즉시 보정합니다.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3. AI 판정 확인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심의 결과 상세 (UI-FO-009)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약 8초 후 문장별 신호등 배지(적색: 금지 / 황색: 주의·실증필요 / 녹색: 적격)와 위반 법령 조항(표시·광고 공정화법 제3조), 전성분 배합비 대조 결과를 확인합니다.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4. 대체문구 반영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대체문구 추천 탭 (UI-FO-010)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AI가 제안한 3가지 안전 대체 카피 중 하나를 클릭하여 원문에 자동 치환한 뒤 [재심의 실행] 또는 [심의 완료 리포트 PDF 출력]을 클릭합니다.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시스템 관리자(BO) 및 인프라 운영자 일일 점검 가이드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(규제 룰셋 및 법령 지식베이스 갱신) [BO &gt; 규제 룰셋 관리 (UI-BO-001)]에서 신규 금지어 정규식을 추가하거나, 개정된 식약처 가이드라인 PDF를 업로드하면 백그라운드에서 pgvector 임베딩이 자동 재색인됩니다.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(AI 품질 골든셋 정기 점검) 매주 월요일 08:00에 자동 실행되는 50문항 골든셋 회귀 테스트(UI-BO-010) 결과를 확인하여 Precision 95% 이상 유지 여부를 모니터링합니다.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(일일 헬스체크) 매일 09:00에 EKS 파드 상태, RDS CPU/스토리지(70% 이하), 일배치(02:00 ProductLab 전성분 동기화) 성공 여부 및 일일 LLM 토큰 소비량을 점검합니다.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26일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매뉴얼 작성책임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기술문서팀 / 프론트엔드PL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이 하 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(작성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인수 확인관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규제심의팀 /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 /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(인수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