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맑은 고딕" w:hAnsi="맑은 고딕"/>
          <w:b/>
          <w:color w:val="1E3A8A"/>
          <w:sz w:val="56"/>
        </w:rPr>
        <w:t>AI 판정 및 프롬프트 설계서</w:t>
      </w:r>
    </w:p>
    <w:p>
      <w:pPr>
        <w:spacing w:before="240"/>
        <w:jc w:val="center"/>
      </w:pPr>
      <w:r>
        <w:rPr>
          <w:rFonts w:ascii="맑은 고딕" w:hAnsi="맑은 고딕"/>
          <w:color w:val="64748B"/>
          <w:sz w:val="26"/>
        </w:rPr>
        <w:t>SyncGuard AI 심의 추론 엔진 및 멀티모달 프롬프트 아키텍처 설계 명세</w:t>
      </w:r>
    </w:p>
    <w:p>
      <w:pPr>
        <w:spacing w:before="1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프로젝트명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한빛글로벌 엔터프라이즈 AI 콘텐츠·규제 심의 자동화 시스템(SyncGuard AI) 구축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산출물 식별자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EMP_DEG_150 (설계 단계 산출물)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문서 버전</w:t>
            </w:r>
          </w:p>
        </w:tc>
        <w:tc>
          <w:tcPr>
            <w:tcW w:type="dxa" w:w="6480"/>
          </w:tcPr>
          <w:p>
            <w:r>
              <w:t>v1.3 (1차 AI 영상 피크프레임 추출 + 2차 웹 동영상 재생·장면 추가/편집/삭제 보정, BO/API➔Agent EKS Service 호출, 네이버/패들 OCR 선택, S3 Intelligent-Tiering 반영)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작성 일자</w:t>
            </w:r>
          </w:p>
        </w:tc>
        <w:tc>
          <w:tcPr>
            <w:tcW w:type="dxa" w:w="6480"/>
          </w:tcPr>
          <w:p>
            <w:r>
              <w:t>2026년 10월 27일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발주 기관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㈜한빛글로벌 (Hanbit Global Corp.)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수행 기관</w:t>
            </w:r>
          </w:p>
        </w:tc>
        <w:tc>
          <w:tcPr>
            <w:tcW w:type="dxa" w:w="6480"/>
          </w:tcPr>
          <w:p>
            <w:r>
              <w:t>㈜엠파시 (Empasy Inc.)</w:t>
            </w:r>
          </w:p>
        </w:tc>
      </w:tr>
    </w:tbl>
    <w:p>
      <w:r>
        <w:br w:type="page"/>
      </w:r>
    </w:p>
    <w:p>
      <w:pPr>
        <w:pStyle w:val="Heading1"/>
        <w:spacing w:before="240"/>
      </w:pPr>
      <w:r>
        <w:t>1. AI 판정 아키텍처 개요</w:t>
      </w:r>
    </w:p>
    <w:p>
      <w:r>
        <w:t>본 문서는 한빛글로벌 화장품 광고 시안(상세페이지, SNS, 영상 등)에 포함된 텍스트 및 이미지 요소를 분석하여 표시·광고 공정화법 제3조 및 식약처 표시·광고 가이드라인 위반 여부를 3단계 파이프라인으로 정밀 판정하는 AI 엔진의 내부 추론 알고리즘, 프롬프트 엔지니어링 규격, RAG 지식베이스 검색 체계를 명세합니다.</w:t>
      </w:r>
    </w:p>
    <w:p>
      <w:pPr>
        <w:pStyle w:val="Heading2"/>
      </w:pPr>
      <w:r>
        <w:t>1.1 3단계 심의 판정 파이프라인</w:t>
      </w:r>
    </w:p>
    <w:p>
      <w:r>
        <w:t>1. Stage 1 (Video Peak-Frame Extraction, Web Scene Correction &amp; Selectable Naver/Paddle OCR): PPTX/PDF/긴 상세페이지 JPG 및 동영상(MP4, 최대 300MB 대외 연계 API 직접 업로드 및 S3 Intelligent-Tiering 자동 저장)을 대상으로, 1차로 AI Agent가 OpenCV 기반으로 텍스트 애니메이션 완성 시점(피크프레임)과 하단 미세 각주 영역을 자동 추출하며, 2차로 이를 보정하기 위해 통합 웹 화면(Client/fe :3104)에서 동영상을 재생하여 사용자가 특정 화면에 멈춰 장면을 추가하거나 AI가 만든 장면을 편집·삭제합니다. 대외 연계 서버(server-api :18085) 및 BO 업무 서버(server-be :18080)는 EKS K8s Service(http://syncguard-ai-agent-svc:18083)를 통해 AI Agent를 호출하고, 시스템 설정(claim.ocr.provider=NAVER|PADDLE|AUTO)에 따라 네이버 클로바 OCR(https://*.apigw.ntruss.com) 또는 패들 OCR을 구동하여 텍스트와 상대좌표(%)를 추출합니다.</w:t>
      </w:r>
    </w:p>
    <w:p>
      <w:pPr>
        <w:pStyle w:val="Heading1"/>
      </w:pPr>
      <w:r>
        <w:t>2. 시스템 프롬프트(System Prompt) 설계</w:t>
      </w:r>
    </w:p>
    <w:p>
      <w:r>
        <w:t>심의 엔진의 일관성과 무결성을 확보하기 위해 LLM 시스템 프롬프트는 아래 5대 원칙에 따라 설계되었습니다:</w:t>
        <w:br/>
        <w:t>• Strict Role Definition: 화장품 규제대응(RA) 15년 차 수석 심의관의 페르소나 부여</w:t>
        <w:br/>
        <w:t>• Zero-Hallucination: 식약처 고시 및 법령 DB에 명시되지 않은 임의 유추 해석 전면 금지</w:t>
        <w:br/>
        <w:t>• 3-Tier Risk Output: 오직 BAN(금지), WARN(주의), SAFE(안전) 중 단일 등급 판정 강제</w:t>
        <w:br/>
        <w:t>• Actionable Advice: 단순 위반 지적에 그치지 않고 법적으로 안전한 권장 대체 문구 2개 이상 필수 제시</w:t>
        <w:br/>
        <w:t>• JSON Schema Enforcement: 백엔드 파서 연동을 위해 RFC 8259 준수 순수 JSON 포맷 반환</w:t>
      </w:r>
    </w:p>
    <w:p>
      <w:pPr>
        <w:pStyle w:val="Heading2"/>
      </w:pPr>
      <w:r>
        <w:t>2.1 파이프라인 단계별 프롬프트 명세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r>
              <w:rPr>
                <w:b/>
                <w:color w:val="FFFFFF"/>
                <w:sz w:val="19"/>
              </w:rPr>
              <w:t>프롬프트ID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  <w:sz w:val="19"/>
              </w:rPr>
              <w:t>단계명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  <w:sz w:val="19"/>
              </w:rPr>
              <w:t>적용 모델</w:t>
            </w:r>
          </w:p>
        </w:tc>
        <w:tc>
          <w:tcPr>
            <w:tcW w:type="dxa" w:w="2340"/>
            <w:shd w:fill="1E3A8A"/>
          </w:tcPr>
          <w:p>
            <w:r>
              <w:rPr>
                <w:b/>
                <w:color w:val="FFFFFF"/>
                <w:sz w:val="19"/>
              </w:rPr>
              <w:t>핵심 파라미터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PRM-001</w:t>
            </w:r>
          </w:p>
        </w:tc>
        <w:tc>
          <w:tcPr>
            <w:tcW w:type="dxa" w:w="2340"/>
            <w:shd w:fill="F8FAFC"/>
          </w:tcPr>
          <w:p>
            <w:r>
              <w:t>멀티모달 OCR 텍스트 정제 (Naver/Paddle 선택)</w:t>
            </w:r>
          </w:p>
        </w:tc>
        <w:tc>
          <w:tcPr>
            <w:tcW w:type="dxa" w:w="2340"/>
            <w:shd w:fill="F8FAFC"/>
          </w:tcPr>
          <w:p>
            <w:r>
              <w:t>Naver Clova OCR / PaddleOCR + LLM 보정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Temperature: 0.0, Top-P: 0.1, Max Tokens: 2048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8"/>
              </w:rPr>
              <w:t>PRM-002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표시·광고 공정화법 위반 심층 판정</w:t>
            </w:r>
          </w:p>
        </w:tc>
        <w:tc>
          <w:tcPr>
            <w:tcW w:type="dxa" w:w="2340"/>
            <w:shd w:fill="FFFFFF"/>
          </w:tcPr>
          <w:p>
            <w:r>
              <w:t>OpenAI GPT-4o / Claude 3.5 Sonnet (비학습 API)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Temperature: 0.1, Top-P: 0.8, Max Tokens: 1024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PRM-003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합법 대체 문구 자동 생성</w:t>
            </w:r>
          </w:p>
        </w:tc>
        <w:tc>
          <w:tcPr>
            <w:tcW w:type="dxa" w:w="2340"/>
            <w:shd w:fill="F8FAFC"/>
          </w:tcPr>
          <w:p>
            <w:r>
              <w:t>OpenAI GPT-4o / Claude 3.5 Sonnet (비학습 API)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Temperature: 0.3, Top-P: 0.9, Max Tokens: 512</w:t>
            </w:r>
          </w:p>
        </w:tc>
      </w:tr>
    </w:tbl>
    <w:p>
      <w:pPr>
        <w:pStyle w:val="Heading1"/>
      </w:pPr>
      <w:r>
        <w:t>3. RAG 법령 지식베이스 및 벡터 검색 설계</w:t>
      </w:r>
    </w:p>
    <w:p>
      <w:r>
        <w:t>식약처 제품 표시·광고 가이드라인, 표시·광고 공정화법, 표시광고 공정화법 등 법령 문서와 처분 사례를 마크다운 계층 구조(장·절·조·항 Parent-Child 청킹) 및 청크 크기 512 토큰(오버랩 64 토큰)으로 분할하여 1536차원 텍스트 임베딩 모델(VECTOR(1536))을 통해 PostgreSQL pgvector 단일 테이블(review_regulation_chunk) 및 HNSW 인덱스에 일원화 적재하였습니다.</w:t>
      </w:r>
    </w:p>
    <w:p>
      <w:pPr>
        <w:pStyle w:val="Heading1"/>
      </w:pPr>
      <w:r>
        <w:t>4. 모델 하이퍼파라미터 및 안전성 검증</w:t>
      </w:r>
    </w:p>
    <w:p>
      <w:r>
        <w:t>판정의 결정론적(Deterministic) 재현성을 보장하기 위해 Temperature는 0.1 이하로 엄격히 고정하며, 주 1회 골든 데이터셋 50문항 회귀 테스트를 통해 정밀도(Precision) 95% 미만 하락 시 배포를 자동 롤백하는 CI/CD 안전장치를 운영합니다.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