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Malgun Gothic" w:hAnsi="Malgun Gothic"/>
          <w:b/>
          <w:color w:val="0F172A"/>
          <w:sz w:val="44"/>
        </w:rPr>
        <w:t>최 종  검 수  확 인 서</w:t>
      </w:r>
    </w:p>
    <w:p>
      <w:pPr>
        <w:spacing w:after="400"/>
        <w:jc w:val="center"/>
      </w:pPr>
      <w:r>
        <w:rPr>
          <w:rFonts w:ascii="Malgun Gothic" w:hAnsi="Malgun Gothic"/>
          <w:color w:val="64748B"/>
          <w:sz w:val="22"/>
        </w:rPr>
        <w:t>Final Acceptance Certificate - SyncGuard AI 시스템 구축 용역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1. 사업 개요 및 계약 정보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사 업 명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SyncGuard AI 시스템 구축 용역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계약 번호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AP-2026-IT-084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발 주 사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주식회사 한빛글로벌 (Hanbit Global Corp.)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주 사 업 자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주식회사 엠파시 (EMPASY)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공동 수행사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t>㈜엠파시 (Empasy Inc.)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계약 기간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2026.06.01 ~ 2026.10.16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검수 일자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2026년 10월 16일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검수 장소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한빛글로벌 본사 RA 회의실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문서 번호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EMP_IMP_040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승인 버전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v1.0 (최종 승인본)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2. 종합 검수 결과 요약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주식회사 한빛글로벌과 주식회사 엠파시 간 체결한 용역 계약에 의거하여, 사업수행계획서 및 요구사항정의서에 명시된 기능 및 비기능 요구조건에 대한 최종 검수를 실시한 결과는 아래와 같습니다.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F172A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검수 부문</w:t>
            </w:r>
          </w:p>
        </w:tc>
        <w:tc>
          <w:tcPr>
            <w:tcW w:type="dxa" w:w="2592"/>
            <w:shd w:fill="0F172A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검수 기준 및 목표</w:t>
            </w:r>
          </w:p>
        </w:tc>
        <w:tc>
          <w:tcPr>
            <w:tcW w:type="dxa" w:w="2016"/>
            <w:shd w:fill="0F172A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실제 달성치</w:t>
            </w:r>
          </w:p>
        </w:tc>
        <w:tc>
          <w:tcPr>
            <w:tcW w:type="dxa" w:w="1440"/>
            <w:shd w:fill="0F172A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합격 여부</w:t>
            </w:r>
          </w:p>
        </w:tc>
        <w:tc>
          <w:tcPr>
            <w:tcW w:type="dxa" w:w="1440"/>
            <w:shd w:fill="0F172A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기능 요구사항 검수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RFP 및 요구사항 42개 항목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42개 전 항목 개발 완료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적합 (PASS)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100% 완수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AI 판정 정확도 검수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골든셋 50문항 정밀도 90% 이상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정밀도 96.2%, F1 96.0%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적합 (PASS)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+6.2%p 초과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시스템 성능 부하 검수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응답 5.0초 이내, 동시 50 VU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평균 3.2초, 62 VU 달성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적합 (PASS)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안정적 처리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정보보안 웹 취약점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취약점 43개 항목 점검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취약점 0건 (조치율 100%)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적합 (PASS)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보안 승인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시범운영(Pilot) 검수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실제 11개 브랜드 심의 검증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142건 심의, 일치율 97.2%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적합 (PASS)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현업 승인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단계별 산출물 인계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전 단계 28종 산출물 완비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28종 전수 승인 및 인계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적합 (PASS)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인계 완결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3. 세부 기능 요구사항 검수 결과 (42개 항목)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사업수행계획서 및 통합시험시나리오(EMP_TST_020)에 의거하여 검수 대상 42개 기능 요구사항 전 항목에 대한 동작 시험 및 검증을 완료하였으며, 전 항목 '적합'으로 판정되었습니다.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E293B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기능 분류 (영역)</w:t>
            </w:r>
          </w:p>
        </w:tc>
        <w:tc>
          <w:tcPr>
            <w:tcW w:type="dxa" w:w="5040"/>
            <w:shd w:fill="1E293B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기능 검증 내용</w:t>
            </w:r>
          </w:p>
        </w:tc>
        <w:tc>
          <w:tcPr>
            <w:tcW w:type="dxa" w:w="1440"/>
            <w:shd w:fill="1E293B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검수 판정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1. 심의 접수 및 요청 관리 (8건)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클레임 텍스트/이미지 접수, PDP 파일 업로드, 심의 상태 실시간 추적, 이력 관리 등 (F-01 ~ F-08)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적합 (8/8)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2. 다단계 AI 판정 파이프라인 (10건)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100개 룰셋 필터링, RAG 법령 매칭, LLM 심층 문맥 판정(녹/청/황/적), 대체 문구 추천 (F-09 ~ F-18)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적합 (10/10)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3. OCR 이미지 분석 및 텍스트 추출 (6건)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Vision OCR 기반 제품 패키지/상세페이지 텍스트 검출, Bounding Box 매핑 (F-19 ~ F-24)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적합 (6/6)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4. 외부 시스템 인터페이스 연계 (6건)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ProductLab 원료 규격 REST API, MarketingHub 결재 동기화, 통합 사번 SSO, KT 알림톡 (F-25 ~ F-30)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적합 (6/6)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5. 지식 베이스 및 규칙 사전 관리 (6건)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식약처 고시 DB, 금지어/주의어 룰셋 추가/수정, 예외 사전 관리, 버전 관리 (F-31 ~ F-36)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적합 (6/6)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6. 시스템 관리 및 보안/통계 (6건)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사용자/권한 관리, 심의 통계 대시보드, 감사 로그 추적, JWT 세션 보안 관리 (F-37 ~ F-42)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적합 (6/6)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4. 최종 산출물 28종 인계 확인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공식 단계별 산출물 기준표에 명시된 28종의 산출물 전수가 최신 승인본(v1.0)으로 작성되어 구글 드라이브 지정 폴더에 완비 및 인계되었음을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293B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6048"/>
            <w:shd w:fill="1E293B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포함 산출물 내역</w:t>
            </w:r>
          </w:p>
        </w:tc>
        <w:tc>
          <w:tcPr>
            <w:tcW w:type="dxa" w:w="1440"/>
            <w:shd w:fill="1E293B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인계 상태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7"/>
              </w:rPr>
              <w:t>분석 단계 (4종)</w:t>
            </w:r>
          </w:p>
        </w:tc>
        <w:tc>
          <w:tcPr>
            <w:tcW w:type="dxa" w:w="60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7"/>
              </w:rPr>
              <w:t>사업수행계획서(EMP_INT_010), 작업분할구조도(EMP_INT_020), 요구사항정의서(EMP_ANL_020), 연계규격협의서(EMP_ANL_050)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7"/>
              </w:rPr>
              <w:t>인계 완결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7"/>
              </w:rPr>
              <w:t>설계 단계 (6종)</w:t>
            </w:r>
          </w:p>
        </w:tc>
        <w:tc>
          <w:tcPr>
            <w:tcW w:type="dxa" w:w="604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7"/>
              </w:rPr>
              <w:t>화면설계서(EMP_DEG_050), IA정의서(EMP_DEG_010), DB설계서(EMP_DEG_080), 아키텍처정의서(EMP_DEG_090), 인터페이스정의서(EMP_DEG_120), AI판정·프롬프트설계서(EMP_DEG_150)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7"/>
              </w:rPr>
              <w:t>인계 완결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7"/>
              </w:rPr>
              <w:t>구현 단계 (5종)</w:t>
            </w:r>
          </w:p>
        </w:tc>
        <w:tc>
          <w:tcPr>
            <w:tcW w:type="dxa" w:w="60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7"/>
              </w:rPr>
              <w:t>전체 소스코드(Git), 규칙사전정의서(EMP_EXE_010), 프롬프트명세서(EMP_EXE_020), ProductLab연계명세서(EMP_EXE_030), 단위테스트케이스(EMP_TST_010)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7"/>
              </w:rPr>
              <w:t>인계 완결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7"/>
              </w:rPr>
              <w:t>시험 단계 (4종)</w:t>
            </w:r>
          </w:p>
        </w:tc>
        <w:tc>
          <w:tcPr>
            <w:tcW w:type="dxa" w:w="604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7"/>
              </w:rPr>
              <w:t>통합테스트시나리오(EMP_TST_020), 보안점검결과서(EMP_TST_030), 성능시험결과서(EMP_TST_040), 골든셋평가보고서(EMP_TST_050)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7"/>
              </w:rPr>
              <w:t>인계 완결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7"/>
              </w:rPr>
              <w:t>이행 단계 (5종)</w:t>
            </w:r>
          </w:p>
        </w:tc>
        <w:tc>
          <w:tcPr>
            <w:tcW w:type="dxa" w:w="60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7"/>
              </w:rPr>
              <w:t>이행체크리스트(EMP_IMP_020), 사용자매뉴얼(EMP_IMP_050), 운영자매뉴얼(EMP_IMP_060), 교육결과보고서(EMP_IMP_070), 시범운영결과보고서(EMP_IMP_090), 종료보고서(EMP_IMP_080)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7"/>
              </w:rPr>
              <w:t>인계 완결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7"/>
              </w:rPr>
              <w:t>상시 단계 (4종)</w:t>
            </w:r>
          </w:p>
        </w:tc>
        <w:tc>
          <w:tcPr>
            <w:tcW w:type="dxa" w:w="604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7"/>
              </w:rPr>
              <w:t>주간업무보고서(EMP_MAN_010), 회의록(EMP_MAN_020), 이슈관리대장(EMP_MAN_030), 결함관리대장(EMP_MAN_040), 변경관리대장(EMP_MAN_060)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7"/>
              </w:rPr>
              <w:t>인계 완결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5. 무상 하자보수 및 기술지원 확약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무상 하자보수 기간: 검수 완료일 익일로부터 3개월 (2026년 10월 17일 ~ 2027년 1월 16일)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하자보수 범위: 본 사업으로 개발 및 구축된 소프트웨어 결함, AI 판정 로직 오류, 외부 인터페이스 연계 장애 일체 무상 지원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기술 지원 체계: 전담 엔지니어 긴급 대응 핫라인 운영 (P1 긴급 장애 시 30분 이내 착수, 2시간 이내 정상화 목표)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정기 점검 지원: 하자보수 기간 중 월 1회 서버 인프라 및 DB 정기 점검, 분기 1회 AI 모델 정밀도 모니터링 무상 제공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6. 최종 검수 확인 및 서명 날인</w:t>
      </w:r>
    </w:p>
    <w:p>
      <w:pPr>
        <w:spacing w:before="160" w:after="280" w:line="312" w:lineRule="auto"/>
      </w:pPr>
      <w:r>
        <w:rPr>
          <w:rFonts w:ascii="Malgun Gothic" w:hAnsi="Malgun Gothic"/>
          <w:b/>
          <w:color w:val="0F172A"/>
          <w:sz w:val="21"/>
        </w:rPr>
        <w:t>위와 같이 「SyncGuard AI 시스템 구축 용역」의 제반 계약 요건 및 요구사항이 충실히 완수되었음을 확인하고 최종 검수 합격 판정하며 본 확인서를 발행합니다.</w:t>
      </w:r>
    </w:p>
    <w:p>
      <w:pPr>
        <w:spacing w:after="400"/>
        <w:jc w:val="center"/>
      </w:pPr>
      <w:r>
        <w:rPr>
          <w:rFonts w:ascii="Malgun Gothic" w:hAnsi="Malgun Gothic"/>
          <w:b/>
          <w:color w:val="0F172A"/>
          <w:sz w:val="26"/>
        </w:rPr>
        <w:t>2026년 10월 16일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160"/>
              <w:jc w:val="center"/>
            </w:pPr>
            <w:r>
              <w:rPr>
                <w:rFonts w:ascii="Malgun Gothic" w:hAnsi="Malgun Gothic"/>
                <w:b/>
                <w:color w:val="2563EB"/>
                <w:sz w:val="20"/>
              </w:rPr>
              <w:t>발 주 사 (검수 책임관)</w:t>
            </w:r>
          </w:p>
          <w:p>
            <w:pPr>
              <w:spacing w:after="0" w:line="312" w:lineRule="auto"/>
              <w:jc w:val="center"/>
            </w:pPr>
            <w:r>
              <w:rPr>
                <w:rFonts w:ascii="Malgun Gothic" w:hAnsi="Malgun Gothic"/>
                <w:color w:val="334155"/>
                <w:sz w:val="19"/>
              </w:rPr>
              <w:t>주식회사 한빛글로벌</w:t>
              <w:br/>
              <w:t>RA팀 검수책임관</w:t>
              <w:br/>
              <w:br/>
              <w:br/>
              <w:t>성 명 :                  (인)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160"/>
              <w:jc w:val="center"/>
            </w:pPr>
            <w:r>
              <w:rPr>
                <w:rFonts w:ascii="Malgun Gothic" w:hAnsi="Malgun Gothic"/>
                <w:b/>
                <w:color w:val="2563EB"/>
                <w:sz w:val="20"/>
              </w:rPr>
              <w:t>주 사 업 자 (사업 총괄)</w:t>
            </w:r>
          </w:p>
          <w:p>
            <w:pPr>
              <w:spacing w:after="0" w:line="312" w:lineRule="auto"/>
              <w:jc w:val="center"/>
            </w:pPr>
            <w:r>
              <w:rPr>
                <w:rFonts w:ascii="Malgun Gothic" w:hAnsi="Malgun Gothic"/>
                <w:color w:val="334155"/>
                <w:sz w:val="19"/>
              </w:rPr>
              <w:t>주식회사 엠파시 (EMPASY)</w:t>
              <w:br/>
              <w:t>사업총괄 PM</w:t>
              <w:br/>
              <w:br/>
              <w:br/>
              <w:t>성 명 :                  (인)</w:t>
            </w:r>
          </w:p>
        </w:tc>
        <w:tc>
          <w:tcPr>
            <w:tcW w:type="dxa" w:w="3456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t>공동수행사 (AI 구축 총괄)</w:t>
              <w:br/>
              <w:t>주식회사 엠파시 (Empasy Inc.)</w:t>
              <w:br/>
              <w:t>AI 테크니컬 리드</w:t>
              <w:br/>
              <w:br/>
              <w:br/>
              <w:t>성 명 :                  (인)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/>
        <w:color w:val="2563EB"/>
        <w:sz w:val="17"/>
      </w:rPr>
      <w:t>발주사: HANBIT GLOBAL   |   수행사: EMPASY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SyncGuard AI 시스템 구축 | 최종 검수확인서 (EMP_IMP_040 v1.0)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