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Malgun Gothic" w:hAnsi="Malgun Gothic"/>
          <w:b/>
          <w:color w:val="0F172A"/>
          <w:sz w:val="44"/>
        </w:rPr>
        <w:t>물 리  데 이 터  모 델  설 계 서</w:t>
      </w:r>
    </w:p>
    <w:p>
      <w:pPr>
        <w:spacing w:after="400"/>
        <w:jc w:val="center"/>
      </w:pPr>
      <w:r>
        <w:rPr>
          <w:rFonts w:ascii="Malgun Gothic" w:hAnsi="Malgun Gothic"/>
          <w:color w:val="64748B"/>
          <w:sz w:val="22"/>
        </w:rPr>
        <w:t>Physical Data Model Specification - SyncGuard AI</w:t>
      </w:r>
    </w:p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1. 물리 데이터베이스 환경 및 사양</w:t>
      </w:r>
    </w:p>
    <w:p>
      <w:pPr>
        <w:spacing w:after="80" w:line="288" w:lineRule="auto"/>
      </w:pPr>
      <w:r>
        <w:t>본 문서는 논리 데이터 모델을 기반으로 AWS RDS PostgreSQL 16 Enterprise RDBMS 및 pgvector 확장을 적용하여 설계된 물리 테이블 구조, 데이터 타입, 물리 인덱스 및 저장 공간 튜닝 명세를 정의합니다.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DBMS 솔루션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t>AWS RDS PostgreSQL 16 (Multi-AZ)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확장 확장 모듈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t>pgvector 1536차원 (단일 DB 벡터 검색)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문자 집합 (Charset)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UTF-8 (Unicode)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정렬 (Collation)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ko_KR.utf8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스토리지 전략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t>AWS GP3 SSD 암호화 볼륨 (AWS S3 시안·스냅샷 연동)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백업 주기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8"/>
              </w:rPr>
              <w:t>일일 자동 스냅샷 + WAL 아카이빙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문서 번호</w:t>
            </w:r>
          </w:p>
        </w:tc>
        <w:tc>
          <w:tcPr>
            <w:tcW w:type="dxa" w:w="31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t>EMP_DEG_100 (v1.1)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1E293B"/>
                <w:sz w:val="18"/>
              </w:rPr>
              <w:t>참조 문서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t>EMP_DEG_080 (DB명세서 v1.1)</w:t>
            </w:r>
          </w:p>
        </w:tc>
      </w:tr>
    </w:tbl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2. 핵심 물리 테이블 및 인덱스 전략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0F172A"/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물리 테이블명</w:t>
            </w:r>
          </w:p>
        </w:tc>
        <w:tc>
          <w:tcPr>
            <w:tcW w:type="dxa" w:w="5040"/>
            <w:shd w:fill="0F172A"/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물리 컬럼 및 저장 속성 요약</w:t>
            </w:r>
          </w:p>
        </w:tc>
        <w:tc>
          <w:tcPr>
            <w:tcW w:type="dxa" w:w="1872"/>
            <w:shd w:fill="0F172A"/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/>
                <w:b/>
                <w:color w:val="FFFFFF"/>
                <w:sz w:val="19"/>
              </w:rPr>
              <w:t>물리 인덱스 전략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2563EB"/>
                <w:sz w:val="17"/>
              </w:rPr>
              <w:t>review_request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t>심의 접수 메인 테이블 (요청번호, 브랜드코드, 신청자사번, 심의상태[DRAFT/REQUESTED/QUEUED/ANALYZING/FAILED/CONFIRMED], 등록일시)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PK(id), IDX(req_no), IDX(brand_code, status)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2563EB"/>
                <w:sz w:val="17"/>
              </w:rPr>
              <w:t>review_review_result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AI 판정 결과 테이블 (판정등급 녹/청/황/적, 종합신뢰도, 분석소요시간, 판정일시)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PK(id), FK(request_id), IDX(judgment_grade)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2563EB"/>
                <w:sz w:val="17"/>
              </w:rPr>
              <w:t>review_rule_dictionary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규칙 사전 100종 (규칙코드, 금지/주의구분, 패턴정규식, 근거법령조항, 활성여부)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PK(rule_id), GIN Trigram(pattern_regex)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2563EB"/>
                <w:sz w:val="17"/>
              </w:rPr>
              <w:t>guideline_vector_index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t>식약처 법령·처분사례 RAG 벡터 테이블 (문서ID, 조항텍스트, PG Vector 1536차원 임베딩 벡터 단일화)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PK(doc_id), HNSW Vector Index (cosine)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2563EB"/>
                <w:sz w:val="17"/>
              </w:rPr>
              <w:t>review_recommend_phrase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대체 추천 문구 100종 (원문표현, 추천대체어, 법령근거, 추천우선순위)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PK(id), IDX(original_phrase)</w:t>
            </w:r>
          </w:p>
        </w:tc>
      </w:tr>
      <w:tr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b/>
                <w:color w:val="2563EB"/>
                <w:sz w:val="17"/>
              </w:rPr>
              <w:t>api_interface_log</w:t>
            </w:r>
          </w:p>
        </w:tc>
        <w:tc>
          <w:tcPr>
            <w:tcW w:type="dxa" w:w="50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r>
              <w:t>외부 연계 통신 로그 (MarketingHub 의뢰/회신, ProductLab 전성분/실증, SSO, [Option] KT 레몬 통신 이력)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Malgun Gothic" w:hAnsi="Malgun Gothic"/>
                <w:color w:val="334155"/>
                <w:sz w:val="17"/>
              </w:rPr>
              <w:t>PK(log_id), IDX(created_at DESC, api_type)</w:t>
            </w:r>
          </w:p>
        </w:tc>
      </w:tr>
    </w:tbl>
    <w:p>
      <w:pPr>
        <w:keepNext/>
        <w:spacing w:before="320" w:after="120"/>
      </w:pPr>
      <w:r>
        <w:rPr>
          <w:rFonts w:ascii="Malgun Gothic" w:hAnsi="Malgun Gothic"/>
          <w:b/>
          <w:color w:val="0F172A"/>
          <w:sz w:val="28"/>
        </w:rPr>
        <w:t>3. 물리 스토리지 및 파티셔닝 정책</w:t>
      </w:r>
    </w:p>
    <w:p>
      <w:pPr>
        <w:spacing w:after="80" w:line="288" w:lineRule="auto"/>
      </w:pPr>
      <w:r>
        <w:rPr>
          <w:rFonts w:ascii="Malgun Gothic" w:hAnsi="Malgun Gothic"/>
          <w:color w:val="334155"/>
          <w:sz w:val="20"/>
        </w:rPr>
        <w:t>1) 대용량 인터페이스 로그 테이블 파티셔닝: api_interface_log 테이블은 월 단위 Range 파티셔닝을 적용하여 쿼리 성능을 최적화함.</w:t>
      </w:r>
    </w:p>
    <w:p>
      <w:pPr>
        <w:spacing w:after="80" w:line="288" w:lineRule="auto"/>
      </w:pPr>
      <w:r>
        <w:t>2) 고속 벡터 검색 PG Vector 1536차원 HNSW 인덱스: 별도 외부 벡터 DB 없이 PostgreSQL pgvector 확장(VECTOR(1536))으로 단일화하고 HNSW(m=16, ef_construction=64) 인덱스를 생성하여 밀리초 단위 유사도 검색을 수행함.</w:t>
      </w:r>
    </w:p>
    <w:p>
      <w:pPr>
        <w:spacing w:after="80" w:line="288" w:lineRule="auto"/>
      </w:pPr>
      <w:r>
        <w:rPr>
          <w:rFonts w:ascii="Malgun Gothic" w:hAnsi="Malgun Gothic"/>
          <w:color w:val="334155"/>
          <w:sz w:val="20"/>
        </w:rPr>
        <w:t>3) 데이터 보관 주기(Retention Policy): 심의 원본 및 판정 결과는 제품 표시·광고 관리규정 법정 보존 기한(3년) 동안 보관 후 아카이빙.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/>
        <w:color w:val="2563EB"/>
        <w:sz w:val="17"/>
      </w:rPr>
      <w:t>발주사: HANBIT GLOBAL   |   수행사: EMPASY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SyncGuard AI 시스템 구축 | 물리 데이터 모델 설계서 (EMP_DEG_100 v1.0)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