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УО «Белорусский государственный экономический университет»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цифровой экономики</w:t>
      </w:r>
      <w:r w:rsidDel="00000000" w:rsidR="00000000" w:rsidRPr="00000000">
        <w:rPr>
          <w:sz w:val="28"/>
          <w:szCs w:val="28"/>
          <w:rtl w:val="0"/>
        </w:rPr>
        <w:t xml:space="preserve">. Кафедра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математических методов в экономике</w:t>
      </w:r>
      <w:r w:rsidDel="00000000" w:rsidR="00000000" w:rsidRPr="00000000">
        <w:rPr>
          <w:sz w:val="28"/>
          <w:szCs w:val="28"/>
          <w:rtl w:val="0"/>
        </w:rPr>
        <w:t xml:space="preserve">. Специальность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экономическая кибернетика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38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ind w:left="5670" w:firstLine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Заведующий кафедрой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ind w:left="567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д-р экон. наук, доцент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ind w:left="567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 Читая Г.О.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ind w:left="5670" w:firstLine="0"/>
        <w:rPr>
          <w:sz w:val="26"/>
          <w:szCs w:val="2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"____"___________ 2022 г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20" w:lineRule="auto"/>
        <w:ind w:left="1480" w:right="1400" w:firstLine="85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20" w:lineRule="auto"/>
        <w:ind w:left="1480" w:right="1400" w:firstLine="85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20" w:lineRule="auto"/>
        <w:ind w:right="-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C">
      <w:pPr>
        <w:tabs>
          <w:tab w:val="left" w:pos="9640"/>
        </w:tabs>
        <w:spacing w:line="220" w:lineRule="auto"/>
        <w:ind w:right="-8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ДИПЛОМНУЮ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80" w:line="240" w:lineRule="auto"/>
        <w:ind w:left="280" w:right="800" w:firstLine="851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студент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Кобак Фёдор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shd w:fill="ffffff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Разработка моделей нейронных сетей и их использование при принятии решений о выдаче кредита (на примере ОАО    «Белинвестбанк»)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утверждена распоряжением по деканату от "____"_________ 2022 г. № ______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сдачи студентом законченной работы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30 апреля 2022 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 к работе: </w:t>
      </w:r>
      <w:r w:rsidDel="00000000" w:rsidR="00000000" w:rsidRPr="00000000">
        <w:rPr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специальная литература по моделированию кредитных рисков, данные периодической печати, фактологический материал, содержащий исторические наблюдения о клиентах и фактах их выхода в дефолт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вопросов, которые подлежат разработке: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235"/>
        </w:tabs>
        <w:ind w:left="709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Введение</w:t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1 Идеи лежащие в основе моделей нейронных сетей и возможности принятия решений с их использованием</w:t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2 Предварительный анализ и подготовка данных для построения модели</w:t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3 Разработка и использование соответствующих моделей для принятия решений о выдаче кредита</w:t>
      </w:r>
    </w:p>
    <w:p w:rsidR="00000000" w:rsidDel="00000000" w:rsidP="00000000" w:rsidRDefault="00000000" w:rsidRPr="00000000" w14:paraId="00000018">
      <w:pPr>
        <w:ind w:left="709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Заключение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расчетно-аналитических материалов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Составные переменные-свойства клиентов банков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567"/>
        </w:tabs>
        <w:ind w:left="1080" w:hanging="36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Анализ взаимосвязей переменных-свойств клиентов и частот их выхода в состояние дефолта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shd w:fill="ffffff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Получение оценок коэффициентов возможных вариантов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hd w:fill="ffffff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Выбор наилучшей и верификация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Графический материал, выносимый на защиту: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080" w:hanging="36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Диаграммы распределения исследуемых признаков, визуализация взаимосвязей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080" w:hanging="36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Архитектура нейронной сети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080" w:hanging="36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Графики характеризующие качество полученной модели</w:t>
      </w:r>
    </w:p>
    <w:p w:rsidR="00000000" w:rsidDel="00000000" w:rsidP="00000000" w:rsidRDefault="00000000" w:rsidRPr="00000000" w14:paraId="00000022">
      <w:pPr>
        <w:ind w:left="1080" w:firstLine="0"/>
        <w:jc w:val="both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Календарный график выполнения дипломной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9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Введение и 1 раздел – к 21 февраля 2022 г.</w:t>
      </w:r>
    </w:p>
    <w:p w:rsidR="00000000" w:rsidDel="00000000" w:rsidP="00000000" w:rsidRDefault="00000000" w:rsidRPr="00000000" w14:paraId="00000025">
      <w:pPr>
        <w:ind w:left="709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 раздел – 19 марта 2022 г.</w:t>
      </w:r>
    </w:p>
    <w:p w:rsidR="00000000" w:rsidDel="00000000" w:rsidP="00000000" w:rsidRDefault="00000000" w:rsidRPr="00000000" w14:paraId="00000026">
      <w:pPr>
        <w:ind w:left="709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 раздел – 4 апреля 2022 г.</w:t>
      </w:r>
    </w:p>
    <w:p w:rsidR="00000000" w:rsidDel="00000000" w:rsidP="00000000" w:rsidRDefault="00000000" w:rsidRPr="00000000" w14:paraId="00000027">
      <w:pPr>
        <w:ind w:left="709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Заключение – 11 апреля 2022 г.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Консультанты по работе с перечнем разделов, которые имеют к ним отношение</w:t>
      </w: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Ind w:w="0.0" w:type="dxa"/>
        <w:tblLayout w:type="fixed"/>
        <w:tblLook w:val="0000"/>
      </w:tblPr>
      <w:tblGrid>
        <w:gridCol w:w="2407"/>
        <w:gridCol w:w="2407"/>
        <w:gridCol w:w="2407"/>
        <w:gridCol w:w="2406"/>
        <w:tblGridChange w:id="0">
          <w:tblGrid>
            <w:gridCol w:w="2407"/>
            <w:gridCol w:w="2407"/>
            <w:gridCol w:w="2407"/>
            <w:gridCol w:w="2406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Консультант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Подпись, дата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Задание выдал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Задание принял</w:t>
            </w:r>
          </w:p>
        </w:tc>
      </w:tr>
      <w:tr>
        <w:trPr>
          <w:cantSplit w:val="0"/>
          <w:trHeight w:val="2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hd w:fill="auto" w:val="clear"/>
              <w:tabs>
                <w:tab w:val="center" w:pos="4677"/>
                <w:tab w:val="right" w:pos="9355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Дата выдачи задания: 4 февраля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4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shd w:fill="auto" w:val="clear"/>
        <w:spacing w:after="0" w:before="1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______________________________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Э.М. Аксень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shd w:fill="auto" w:val="clear"/>
        <w:spacing w:after="0" w:before="1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принял для исполнения _______________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Ф.А.</w:t>
      </w:r>
      <w:r w:rsidDel="00000000" w:rsidR="00000000" w:rsidRPr="00000000"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Кобак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2378" w:hanging="360"/>
      </w:pPr>
      <w:rPr/>
    </w:lvl>
    <w:lvl w:ilvl="2">
      <w:start w:val="1"/>
      <w:numFmt w:val="lowerRoman"/>
      <w:lvlText w:val="%3."/>
      <w:lvlJc w:val="right"/>
      <w:pPr>
        <w:ind w:left="3098" w:hanging="180"/>
      </w:pPr>
      <w:rPr/>
    </w:lvl>
    <w:lvl w:ilvl="3">
      <w:start w:val="1"/>
      <w:numFmt w:val="decimal"/>
      <w:lvlText w:val="%4."/>
      <w:lvlJc w:val="left"/>
      <w:pPr>
        <w:ind w:left="3818" w:hanging="360"/>
      </w:pPr>
      <w:rPr/>
    </w:lvl>
    <w:lvl w:ilvl="4">
      <w:start w:val="1"/>
      <w:numFmt w:val="lowerLetter"/>
      <w:lvlText w:val="%5."/>
      <w:lvlJc w:val="left"/>
      <w:pPr>
        <w:ind w:left="4538" w:hanging="360"/>
      </w:pPr>
      <w:rPr/>
    </w:lvl>
    <w:lvl w:ilvl="5">
      <w:start w:val="1"/>
      <w:numFmt w:val="lowerRoman"/>
      <w:lvlText w:val="%6."/>
      <w:lvlJc w:val="right"/>
      <w:pPr>
        <w:ind w:left="5258" w:hanging="180"/>
      </w:pPr>
      <w:rPr/>
    </w:lvl>
    <w:lvl w:ilvl="6">
      <w:start w:val="1"/>
      <w:numFmt w:val="decimal"/>
      <w:lvlText w:val="%7."/>
      <w:lvlJc w:val="left"/>
      <w:pPr>
        <w:ind w:left="5978" w:hanging="360"/>
      </w:pPr>
      <w:rPr/>
    </w:lvl>
    <w:lvl w:ilvl="7">
      <w:start w:val="1"/>
      <w:numFmt w:val="lowerLetter"/>
      <w:lvlText w:val="%8."/>
      <w:lvlJc w:val="left"/>
      <w:pPr>
        <w:ind w:left="6698" w:hanging="360"/>
      </w:pPr>
      <w:rPr/>
    </w:lvl>
    <w:lvl w:ilvl="8">
      <w:start w:val="1"/>
      <w:numFmt w:val="lowerRoman"/>
      <w:lvlText w:val="%9."/>
      <w:lvlJc w:val="right"/>
      <w:pPr>
        <w:ind w:left="741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