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77F" w:rsidRPr="00B6577F" w:rsidRDefault="00B6577F" w:rsidP="00B6577F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Лаб. 6</w:t>
      </w:r>
    </w:p>
    <w:p w:rsidR="00B6577F" w:rsidRPr="00B6577F" w:rsidRDefault="00B6577F" w:rsidP="00B6577F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6577F" w:rsidRPr="00B6577F" w:rsidRDefault="00B6577F" w:rsidP="00B6577F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6577F" w:rsidRDefault="00B6577F" w:rsidP="00B657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формировании обобщающего показателя «уровень социально-экономического развития» региона участвует ряд среднедушевых частных показателей.</w:t>
      </w:r>
    </w:p>
    <w:p w:rsidR="00B6577F" w:rsidRPr="00DE170C" w:rsidRDefault="00B6577F" w:rsidP="00B6577F">
      <w:pPr>
        <w:spacing w:after="0" w:line="24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</w:t>
      </w:r>
      <w:r w:rsidRPr="00DE170C">
        <w:rPr>
          <w:rFonts w:ascii="Times New Roman" w:hAnsi="Times New Roman" w:cs="Times New Roman"/>
          <w:sz w:val="28"/>
          <w:szCs w:val="28"/>
        </w:rPr>
        <w:t>Номинальная начисленная среднемесячная заработная плата работников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70C">
        <w:rPr>
          <w:rFonts w:ascii="Times New Roman" w:hAnsi="Times New Roman" w:cs="Times New Roman"/>
          <w:sz w:val="28"/>
          <w:szCs w:val="28"/>
        </w:rPr>
        <w:t>(</w:t>
      </w:r>
      <w:r w:rsidRPr="00660400">
        <w:rPr>
          <w:position w:val="-10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8pt" o:ole="">
            <v:imagedata r:id="rId5" o:title=""/>
          </v:shape>
          <o:OLEObject Type="Embed" ProgID="Equation.3" ShapeID="_x0000_i1025" DrawAspect="Content" ObjectID="_1670061412" r:id="rId6"/>
        </w:object>
      </w:r>
      <w:r w:rsidRPr="00DE170C">
        <w:rPr>
          <w:rFonts w:cs="Times New Roman"/>
          <w:sz w:val="28"/>
          <w:szCs w:val="28"/>
        </w:rPr>
        <w:t xml:space="preserve">, </w:t>
      </w:r>
      <w:r w:rsidRPr="00DE170C">
        <w:rPr>
          <w:rFonts w:ascii="Times New Roman" w:hAnsi="Times New Roman" w:cs="Times New Roman"/>
          <w:sz w:val="28"/>
          <w:szCs w:val="28"/>
        </w:rPr>
        <w:t>руб./чел.).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данными статистики этот показатель следует отождествлять с показателем «реальная заработная плата» (см. таблицу 1.4, раздел «Индексы социально-экономических показателей по областям и г. Минску»). </w:t>
      </w:r>
    </w:p>
    <w:p w:rsidR="00B6577F" w:rsidRPr="00DE170C" w:rsidRDefault="00B6577F" w:rsidP="00B6577F">
      <w:pPr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2. </w:t>
      </w:r>
      <w:r w:rsidRPr="00DE170C">
        <w:rPr>
          <w:rFonts w:ascii="Times New Roman" w:hAnsi="Times New Roman" w:cs="Times New Roman"/>
          <w:sz w:val="28"/>
          <w:szCs w:val="28"/>
        </w:rPr>
        <w:t>Валовой региональный продукт (</w:t>
      </w:r>
      <w:r w:rsidRPr="00DE170C">
        <w:rPr>
          <w:position w:val="-10"/>
        </w:rPr>
        <w:object w:dxaOrig="279" w:dyaOrig="340">
          <v:shape id="_x0000_i1026" type="#_x0000_t75" style="width:13.8pt;height:16.8pt" o:ole="">
            <v:imagedata r:id="rId7" o:title=""/>
          </v:shape>
          <o:OLEObject Type="Embed" ProgID="Equation.3" ShapeID="_x0000_i1026" DrawAspect="Content" ObjectID="_1670061413" r:id="rId8"/>
        </w:object>
      </w:r>
      <w:r w:rsidRPr="00DE170C">
        <w:rPr>
          <w:rFonts w:cs="Times New Roman"/>
          <w:sz w:val="28"/>
          <w:szCs w:val="28"/>
        </w:rPr>
        <w:t xml:space="preserve">, </w:t>
      </w:r>
      <w:r w:rsidRPr="00DE170C">
        <w:rPr>
          <w:rFonts w:ascii="Times New Roman" w:hAnsi="Times New Roman" w:cs="Times New Roman"/>
          <w:sz w:val="28"/>
          <w:szCs w:val="28"/>
        </w:rPr>
        <w:t>руб./чел.).</w:t>
      </w:r>
    </w:p>
    <w:p w:rsidR="00B6577F" w:rsidRDefault="00B6577F" w:rsidP="00B6577F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46FE9">
        <w:rPr>
          <w:rFonts w:ascii="Times New Roman" w:hAnsi="Times New Roman" w:cs="Times New Roman"/>
          <w:sz w:val="28"/>
          <w:szCs w:val="28"/>
        </w:rPr>
        <w:t>3. Объем промышленного производства (</w:t>
      </w:r>
      <w:r w:rsidRPr="00F46FE9">
        <w:rPr>
          <w:rFonts w:ascii="Times New Roman" w:hAnsi="Times New Roman" w:cs="Times New Roman"/>
          <w:position w:val="-12"/>
        </w:rPr>
        <w:object w:dxaOrig="260" w:dyaOrig="360">
          <v:shape id="_x0000_i1027" type="#_x0000_t75" style="width:13.2pt;height:18pt" o:ole="">
            <v:imagedata r:id="rId9" o:title=""/>
          </v:shape>
          <o:OLEObject Type="Embed" ProgID="Equation.3" ShapeID="_x0000_i1027" DrawAspect="Content" ObjectID="_1670061414" r:id="rId10"/>
        </w:object>
      </w:r>
      <w:r w:rsidRPr="00F46FE9">
        <w:rPr>
          <w:rFonts w:ascii="Times New Roman" w:hAnsi="Times New Roman" w:cs="Times New Roman"/>
          <w:sz w:val="28"/>
          <w:szCs w:val="28"/>
        </w:rPr>
        <w:t>, руб./чел.).</w:t>
      </w:r>
    </w:p>
    <w:p w:rsidR="00B6577F" w:rsidRDefault="00B6577F" w:rsidP="00B6577F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46FE9">
        <w:rPr>
          <w:rFonts w:ascii="Times New Roman" w:hAnsi="Times New Roman" w:cs="Times New Roman"/>
          <w:sz w:val="28"/>
          <w:szCs w:val="28"/>
        </w:rPr>
        <w:t>Ввод в эксплуатацию общей площади жилых домов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FE9">
        <w:rPr>
          <w:rFonts w:ascii="Times New Roman" w:hAnsi="Times New Roman" w:cs="Times New Roman"/>
          <w:sz w:val="28"/>
          <w:szCs w:val="28"/>
        </w:rPr>
        <w:t>(</w:t>
      </w:r>
      <w:r w:rsidRPr="00F46FE9">
        <w:rPr>
          <w:rFonts w:ascii="Times New Roman" w:hAnsi="Times New Roman" w:cs="Times New Roman"/>
          <w:position w:val="-10"/>
        </w:rPr>
        <w:object w:dxaOrig="279" w:dyaOrig="340">
          <v:shape id="_x0000_i1028" type="#_x0000_t75" style="width:13.8pt;height:16.8pt" o:ole="">
            <v:imagedata r:id="rId11" o:title=""/>
          </v:shape>
          <o:OLEObject Type="Embed" ProgID="Equation.3" ShapeID="_x0000_i1028" DrawAspect="Content" ObjectID="_1670061415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46FE9">
        <w:rPr>
          <w:rFonts w:ascii="Times New Roman" w:hAnsi="Times New Roman" w:cs="Times New Roman"/>
          <w:sz w:val="28"/>
          <w:szCs w:val="28"/>
        </w:rPr>
        <w:t>м</w:t>
      </w:r>
      <w:r w:rsidRPr="00F46FE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6FE9">
        <w:rPr>
          <w:rFonts w:ascii="Times New Roman" w:hAnsi="Times New Roman" w:cs="Times New Roman"/>
          <w:sz w:val="28"/>
          <w:szCs w:val="28"/>
        </w:rPr>
        <w:t>/чел.)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577F" w:rsidRDefault="00B6577F" w:rsidP="00B6577F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46FE9">
        <w:rPr>
          <w:rFonts w:ascii="Times New Roman" w:hAnsi="Times New Roman" w:cs="Times New Roman"/>
          <w:sz w:val="28"/>
          <w:szCs w:val="28"/>
        </w:rPr>
        <w:t>Инвестиции в основной капитал (</w:t>
      </w:r>
      <w:r w:rsidRPr="00B6577F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9" type="#_x0000_t75" style="width:13.2pt;height:18pt" o:ole="">
            <v:imagedata r:id="rId13" o:title=""/>
          </v:shape>
          <o:OLEObject Type="Embed" ProgID="Equation.3" ShapeID="_x0000_i1029" DrawAspect="Content" ObjectID="_1670061416" r:id="rId14"/>
        </w:object>
      </w:r>
      <w:r w:rsidRPr="00F46FE9">
        <w:rPr>
          <w:rFonts w:ascii="Times New Roman" w:hAnsi="Times New Roman" w:cs="Times New Roman"/>
          <w:sz w:val="28"/>
          <w:szCs w:val="28"/>
        </w:rPr>
        <w:t>, руб./чел.).</w:t>
      </w:r>
    </w:p>
    <w:p w:rsidR="00B6577F" w:rsidRPr="00B6577F" w:rsidRDefault="00B6577F" w:rsidP="00B6577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6. </w:t>
      </w:r>
      <w:r w:rsidRPr="00B65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Розничный товарооборот на душу населения, руб./чел;</w:t>
      </w:r>
    </w:p>
    <w:p w:rsidR="00B6577F" w:rsidRDefault="00B6577F" w:rsidP="00B6577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расчетов предлагается использовать статистический сборник «Регионы Республики Беларусь, 2018, том 1», в соответствии с которым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 w:rsidR="00A82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приведенных ниже среднедушевых частных показателей следует установить по таблицам 1.3 и 1.4 в динамике 2010-2017 гг. Стоимостные среднедушевые показатели в динамике следует пересчитать в постоянных ценах 2010 г. </w:t>
      </w:r>
    </w:p>
    <w:p w:rsidR="00A821B4" w:rsidRDefault="00A821B4" w:rsidP="00B6577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577F" w:rsidRPr="00573750" w:rsidRDefault="00B6577F" w:rsidP="00B6577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3750">
        <w:rPr>
          <w:rFonts w:ascii="Times New Roman" w:hAnsi="Times New Roman" w:cs="Times New Roman"/>
          <w:b/>
          <w:sz w:val="28"/>
          <w:szCs w:val="28"/>
        </w:rPr>
        <w:t>Ссылка для скачивания сборника</w:t>
      </w:r>
      <w:r w:rsidRPr="005737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73750">
        <w:rPr>
          <w:rFonts w:ascii="Times New Roman" w:hAnsi="Times New Roman" w:cs="Times New Roman"/>
          <w:b/>
          <w:sz w:val="28"/>
          <w:szCs w:val="28"/>
        </w:rPr>
        <w:t>https://www.belstat.gov.by/ofitsialnaya-statistika/publications/izdania/index_10915/</w:t>
      </w:r>
    </w:p>
    <w:p w:rsidR="00B6577F" w:rsidRDefault="00B6577F" w:rsidP="00B6577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B6577F" w:rsidRDefault="00B6577F" w:rsidP="00B6577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6577F">
        <w:rPr>
          <w:rFonts w:ascii="Times New Roman" w:eastAsia="Calibri" w:hAnsi="Times New Roman" w:cs="Times New Roman"/>
          <w:b/>
          <w:sz w:val="24"/>
          <w:szCs w:val="24"/>
        </w:rPr>
        <w:t>КОНКРЕТИЗИРОВАННОЕ ЗАДАНИЕ</w:t>
      </w:r>
    </w:p>
    <w:p w:rsidR="00AF785D" w:rsidRDefault="00B6577F" w:rsidP="00AF785D">
      <w:pPr>
        <w:pStyle w:val="a4"/>
        <w:numPr>
          <w:ilvl w:val="0"/>
          <w:numId w:val="2"/>
        </w:numPr>
        <w:spacing w:after="0" w:line="240" w:lineRule="auto"/>
        <w:ind w:left="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F785D">
        <w:rPr>
          <w:rFonts w:ascii="Times New Roman" w:eastAsia="Calibri" w:hAnsi="Times New Roman" w:cs="Times New Roman"/>
          <w:sz w:val="28"/>
          <w:szCs w:val="28"/>
        </w:rPr>
        <w:t>В соответствии с изложенной ниже методикой использования площадей фигур, формирующихся в соответствии с формул</w:t>
      </w:r>
      <w:r w:rsidR="005F6FF4">
        <w:rPr>
          <w:rFonts w:ascii="Times New Roman" w:eastAsia="Calibri" w:hAnsi="Times New Roman" w:cs="Times New Roman"/>
          <w:sz w:val="28"/>
          <w:szCs w:val="28"/>
        </w:rPr>
        <w:t>ой</w:t>
      </w:r>
      <w:r w:rsidRPr="00AF785D">
        <w:rPr>
          <w:rFonts w:ascii="Times New Roman" w:eastAsia="Calibri" w:hAnsi="Times New Roman" w:cs="Times New Roman"/>
          <w:sz w:val="28"/>
          <w:szCs w:val="28"/>
        </w:rPr>
        <w:t xml:space="preserve"> преобразования (2)</w:t>
      </w:r>
      <w:r w:rsidR="00AF785D" w:rsidRPr="00AF785D">
        <w:rPr>
          <w:rFonts w:ascii="Times New Roman" w:eastAsia="Calibri" w:hAnsi="Times New Roman" w:cs="Times New Roman"/>
          <w:sz w:val="28"/>
          <w:szCs w:val="28"/>
        </w:rPr>
        <w:t xml:space="preserve"> в полярной системе координат (лепестковой диаграмме), для определения количественной меры «Социально-экономического развития региона» установить</w:t>
      </w:r>
      <w:r w:rsidR="00AF785D">
        <w:rPr>
          <w:rFonts w:ascii="Times New Roman" w:eastAsia="Calibri" w:hAnsi="Times New Roman" w:cs="Times New Roman"/>
          <w:sz w:val="28"/>
          <w:szCs w:val="28"/>
        </w:rPr>
        <w:t xml:space="preserve"> ее студентам 18 ДКК: </w:t>
      </w:r>
    </w:p>
    <w:p w:rsidR="00AF785D" w:rsidRDefault="00AF785D" w:rsidP="00AF785D">
      <w:pPr>
        <w:pStyle w:val="a4"/>
        <w:spacing w:after="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F615D">
        <w:rPr>
          <w:rFonts w:ascii="Times New Roman" w:eastAsia="Calibri" w:hAnsi="Times New Roman" w:cs="Times New Roman"/>
          <w:b/>
          <w:sz w:val="28"/>
          <w:szCs w:val="28"/>
        </w:rPr>
        <w:t>Безбородко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- Брестская обл. 2017 г.; </w:t>
      </w:r>
      <w:proofErr w:type="spellStart"/>
      <w:r w:rsidRPr="004F615D">
        <w:rPr>
          <w:rFonts w:ascii="Times New Roman" w:eastAsia="Calibri" w:hAnsi="Times New Roman" w:cs="Times New Roman"/>
          <w:b/>
          <w:sz w:val="28"/>
          <w:szCs w:val="28"/>
        </w:rPr>
        <w:t>Бабицкий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Брестская обл. 2018 г.</w:t>
      </w:r>
    </w:p>
    <w:p w:rsidR="00AF785D" w:rsidRDefault="00AF785D" w:rsidP="00AF785D">
      <w:pPr>
        <w:pStyle w:val="a4"/>
        <w:spacing w:after="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F615D">
        <w:rPr>
          <w:rFonts w:ascii="Times New Roman" w:eastAsia="Calibri" w:hAnsi="Times New Roman" w:cs="Times New Roman"/>
          <w:b/>
          <w:sz w:val="28"/>
          <w:szCs w:val="28"/>
        </w:rPr>
        <w:t>Матвиенко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Витебская обл. 2017 г.; </w:t>
      </w:r>
      <w:proofErr w:type="spellStart"/>
      <w:r w:rsidRPr="004F615D">
        <w:rPr>
          <w:rFonts w:ascii="Times New Roman" w:eastAsia="Calibri" w:hAnsi="Times New Roman" w:cs="Times New Roman"/>
          <w:b/>
          <w:sz w:val="28"/>
          <w:szCs w:val="28"/>
        </w:rPr>
        <w:t>Петрусев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Витебская обл. 2018 г.</w:t>
      </w:r>
    </w:p>
    <w:p w:rsidR="00AF785D" w:rsidRDefault="00AF785D" w:rsidP="00AF785D">
      <w:pPr>
        <w:pStyle w:val="a4"/>
        <w:spacing w:after="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F615D">
        <w:rPr>
          <w:rFonts w:ascii="Times New Roman" w:eastAsia="Calibri" w:hAnsi="Times New Roman" w:cs="Times New Roman"/>
          <w:b/>
          <w:sz w:val="28"/>
          <w:szCs w:val="28"/>
        </w:rPr>
        <w:t>Шмелева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Гомельская обл. 2017 г.; </w:t>
      </w:r>
      <w:proofErr w:type="spellStart"/>
      <w:r w:rsidRPr="004F615D">
        <w:rPr>
          <w:rFonts w:ascii="Times New Roman" w:eastAsia="Calibri" w:hAnsi="Times New Roman" w:cs="Times New Roman"/>
          <w:b/>
          <w:sz w:val="28"/>
          <w:szCs w:val="28"/>
        </w:rPr>
        <w:t>Рожковец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Гомельская обл. 2018 г.</w:t>
      </w:r>
    </w:p>
    <w:p w:rsidR="004F615D" w:rsidRDefault="004C7910" w:rsidP="00AF785D">
      <w:pPr>
        <w:pStyle w:val="a4"/>
        <w:spacing w:after="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Подгол</w:t>
      </w:r>
      <w:proofErr w:type="spellEnd"/>
      <w:r w:rsidR="004F615D">
        <w:rPr>
          <w:rFonts w:ascii="Times New Roman" w:eastAsia="Calibri" w:hAnsi="Times New Roman" w:cs="Times New Roman"/>
          <w:sz w:val="28"/>
          <w:szCs w:val="28"/>
        </w:rPr>
        <w:t xml:space="preserve"> – Гродненская обл.  2017 г.; </w:t>
      </w:r>
      <w:proofErr w:type="spellStart"/>
      <w:r w:rsidR="004F615D" w:rsidRPr="004F615D">
        <w:rPr>
          <w:rFonts w:ascii="Times New Roman" w:eastAsia="Calibri" w:hAnsi="Times New Roman" w:cs="Times New Roman"/>
          <w:b/>
          <w:sz w:val="28"/>
          <w:szCs w:val="28"/>
        </w:rPr>
        <w:t>Сикаченко</w:t>
      </w:r>
      <w:proofErr w:type="spellEnd"/>
      <w:r w:rsidR="004F615D">
        <w:rPr>
          <w:rFonts w:ascii="Times New Roman" w:eastAsia="Calibri" w:hAnsi="Times New Roman" w:cs="Times New Roman"/>
          <w:sz w:val="28"/>
          <w:szCs w:val="28"/>
        </w:rPr>
        <w:t xml:space="preserve"> – Гродненская обл. 2018 г.</w:t>
      </w:r>
    </w:p>
    <w:p w:rsidR="004F615D" w:rsidRDefault="004F615D" w:rsidP="00AF785D">
      <w:pPr>
        <w:pStyle w:val="a4"/>
        <w:spacing w:after="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F615D">
        <w:rPr>
          <w:rFonts w:ascii="Times New Roman" w:eastAsia="Calibri" w:hAnsi="Times New Roman" w:cs="Times New Roman"/>
          <w:b/>
          <w:sz w:val="28"/>
          <w:szCs w:val="28"/>
        </w:rPr>
        <w:t>Рыклин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г. Минск 2017 г.; </w:t>
      </w:r>
      <w:proofErr w:type="spellStart"/>
      <w:r w:rsidR="004C7910" w:rsidRPr="004C7910">
        <w:rPr>
          <w:rFonts w:ascii="Times New Roman" w:eastAsia="Calibri" w:hAnsi="Times New Roman" w:cs="Times New Roman"/>
          <w:b/>
          <w:sz w:val="28"/>
          <w:szCs w:val="28"/>
        </w:rPr>
        <w:t>Нюран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– г. Минск 2018 г.</w:t>
      </w:r>
    </w:p>
    <w:p w:rsidR="004F615D" w:rsidRDefault="004F615D" w:rsidP="00AF785D">
      <w:pPr>
        <w:pStyle w:val="a4"/>
        <w:spacing w:after="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F615D">
        <w:rPr>
          <w:rFonts w:ascii="Times New Roman" w:eastAsia="Calibri" w:hAnsi="Times New Roman" w:cs="Times New Roman"/>
          <w:b/>
          <w:sz w:val="28"/>
          <w:szCs w:val="28"/>
        </w:rPr>
        <w:t>Кац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Минская обл. 2017 г.; </w:t>
      </w:r>
      <w:proofErr w:type="spellStart"/>
      <w:r w:rsidRPr="004F615D">
        <w:rPr>
          <w:rFonts w:ascii="Times New Roman" w:eastAsia="Calibri" w:hAnsi="Times New Roman" w:cs="Times New Roman"/>
          <w:b/>
          <w:sz w:val="28"/>
          <w:szCs w:val="28"/>
        </w:rPr>
        <w:t>Токарчук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Минская обл. 2018 г.</w:t>
      </w:r>
    </w:p>
    <w:p w:rsidR="004F615D" w:rsidRDefault="004F615D" w:rsidP="00AF785D">
      <w:pPr>
        <w:pStyle w:val="a4"/>
        <w:spacing w:after="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F615D">
        <w:rPr>
          <w:rFonts w:ascii="Times New Roman" w:eastAsia="Calibri" w:hAnsi="Times New Roman" w:cs="Times New Roman"/>
          <w:b/>
          <w:sz w:val="28"/>
          <w:szCs w:val="28"/>
        </w:rPr>
        <w:t>Лисок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Могилевская обл. 2017 г.; </w:t>
      </w:r>
      <w:proofErr w:type="spellStart"/>
      <w:r w:rsidRPr="004F615D">
        <w:rPr>
          <w:rFonts w:ascii="Times New Roman" w:eastAsia="Calibri" w:hAnsi="Times New Roman" w:cs="Times New Roman"/>
          <w:b/>
          <w:sz w:val="28"/>
          <w:szCs w:val="28"/>
        </w:rPr>
        <w:t>Писахович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Могилевская обл. 2018 г.</w:t>
      </w:r>
    </w:p>
    <w:p w:rsidR="004F615D" w:rsidRDefault="004F615D" w:rsidP="00AF785D">
      <w:pPr>
        <w:pStyle w:val="a4"/>
        <w:spacing w:after="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F615D">
        <w:rPr>
          <w:rFonts w:ascii="Times New Roman" w:eastAsia="Calibri" w:hAnsi="Times New Roman" w:cs="Times New Roman"/>
          <w:b/>
          <w:sz w:val="28"/>
          <w:szCs w:val="28"/>
        </w:rPr>
        <w:t>Филинюк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г. Минск 2015 г.; </w:t>
      </w:r>
      <w:proofErr w:type="spellStart"/>
      <w:r w:rsidRPr="004F615D">
        <w:rPr>
          <w:rFonts w:ascii="Times New Roman" w:eastAsia="Calibri" w:hAnsi="Times New Roman" w:cs="Times New Roman"/>
          <w:b/>
          <w:sz w:val="28"/>
          <w:szCs w:val="28"/>
        </w:rPr>
        <w:t>Тереня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г. Минск 2016 г.</w:t>
      </w:r>
    </w:p>
    <w:p w:rsidR="004F615D" w:rsidRDefault="004C7910" w:rsidP="004F615D">
      <w:pPr>
        <w:pStyle w:val="a4"/>
        <w:spacing w:after="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Кобак</w:t>
      </w:r>
      <w:proofErr w:type="spellEnd"/>
      <w:r w:rsidR="004F615D">
        <w:rPr>
          <w:rFonts w:ascii="Times New Roman" w:eastAsia="Calibri" w:hAnsi="Times New Roman" w:cs="Times New Roman"/>
          <w:sz w:val="28"/>
          <w:szCs w:val="28"/>
        </w:rPr>
        <w:t xml:space="preserve">– Минская обл. 2015 г.; </w:t>
      </w:r>
      <w:r>
        <w:rPr>
          <w:rFonts w:ascii="Times New Roman" w:eastAsia="Calibri" w:hAnsi="Times New Roman" w:cs="Times New Roman"/>
          <w:b/>
          <w:sz w:val="28"/>
          <w:szCs w:val="28"/>
        </w:rPr>
        <w:t>Жук</w:t>
      </w:r>
      <w:r w:rsidR="004F615D">
        <w:rPr>
          <w:rFonts w:ascii="Times New Roman" w:eastAsia="Calibri" w:hAnsi="Times New Roman" w:cs="Times New Roman"/>
          <w:sz w:val="28"/>
          <w:szCs w:val="28"/>
        </w:rPr>
        <w:t xml:space="preserve"> – Минск</w:t>
      </w:r>
      <w:r w:rsidR="005F6FF4">
        <w:rPr>
          <w:rFonts w:ascii="Times New Roman" w:eastAsia="Calibri" w:hAnsi="Times New Roman" w:cs="Times New Roman"/>
          <w:sz w:val="28"/>
          <w:szCs w:val="28"/>
        </w:rPr>
        <w:t xml:space="preserve">ая обл. </w:t>
      </w:r>
      <w:r w:rsidR="004F615D">
        <w:rPr>
          <w:rFonts w:ascii="Times New Roman" w:eastAsia="Calibri" w:hAnsi="Times New Roman" w:cs="Times New Roman"/>
          <w:sz w:val="28"/>
          <w:szCs w:val="28"/>
        </w:rPr>
        <w:t>2016 г.</w:t>
      </w:r>
    </w:p>
    <w:p w:rsidR="005F6FF4" w:rsidRDefault="005F6FF4" w:rsidP="005F6FF4">
      <w:pPr>
        <w:pStyle w:val="a4"/>
        <w:numPr>
          <w:ilvl w:val="0"/>
          <w:numId w:val="2"/>
        </w:numPr>
        <w:spacing w:after="0" w:line="240" w:lineRule="auto"/>
        <w:ind w:left="0" w:firstLine="91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Каждый студент приводит свою лепестковую диаграмму и показывает расчет площадей фигур и их отношения.</w:t>
      </w:r>
    </w:p>
    <w:p w:rsidR="004F615D" w:rsidRDefault="004F615D" w:rsidP="00AF785D">
      <w:pPr>
        <w:pStyle w:val="a4"/>
        <w:spacing w:after="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6577F" w:rsidRPr="00B6577F" w:rsidRDefault="00AF785D" w:rsidP="005F6FF4">
      <w:pPr>
        <w:pStyle w:val="a4"/>
        <w:spacing w:after="0" w:line="240" w:lineRule="auto"/>
        <w:ind w:left="0" w:firstLine="70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F785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</w:t>
      </w:r>
      <w:r w:rsidR="00B6577F" w:rsidRPr="00B6577F">
        <w:rPr>
          <w:rFonts w:ascii="Times New Roman" w:eastAsia="Calibri" w:hAnsi="Times New Roman" w:cs="Times New Roman"/>
          <w:b/>
          <w:sz w:val="24"/>
          <w:szCs w:val="24"/>
        </w:rPr>
        <w:t>Генерирование обобщающих экономических показателей и проведение рейтинговой оценки с помощью лепестковой диаграммы</w:t>
      </w:r>
    </w:p>
    <w:p w:rsidR="00B6577F" w:rsidRPr="00B6577F" w:rsidRDefault="00B6577F" w:rsidP="00B6577F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6577F" w:rsidRPr="00B6577F" w:rsidRDefault="00B6577F" w:rsidP="00B6577F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577F">
        <w:rPr>
          <w:rFonts w:ascii="Times New Roman" w:eastAsia="Calibri" w:hAnsi="Times New Roman" w:cs="Times New Roman"/>
          <w:sz w:val="24"/>
          <w:szCs w:val="24"/>
        </w:rPr>
        <w:t>Исходная система данных может быть построена в виде таблицы «объект-свойство», в которой каждый объект</w:t>
      </w:r>
      <w:r w:rsidRPr="00B6577F">
        <w:rPr>
          <w:rFonts w:ascii="Times New Roman" w:eastAsia="Calibri" w:hAnsi="Times New Roman" w:cs="Times New Roman"/>
          <w:position w:val="-12"/>
          <w:sz w:val="24"/>
          <w:szCs w:val="24"/>
        </w:rPr>
        <w:object w:dxaOrig="1939" w:dyaOrig="360">
          <v:shape id="_x0000_i1030" type="#_x0000_t75" style="width:96.6pt;height:18pt" o:ole="">
            <v:imagedata r:id="rId15" o:title=""/>
          </v:shape>
          <o:OLEObject Type="Embed" ProgID="Equation.3" ShapeID="_x0000_i1030" DrawAspect="Content" ObjectID="_1670061417" r:id="rId16"/>
        </w:objec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в динамике представляется векторными наблюдениями</w:t>
      </w:r>
      <w:r w:rsidRPr="00B6577F">
        <w:rPr>
          <w:rFonts w:ascii="Times New Roman" w:eastAsia="Calibri" w:hAnsi="Times New Roman" w:cs="Times New Roman"/>
          <w:position w:val="-14"/>
          <w:sz w:val="24"/>
          <w:szCs w:val="24"/>
        </w:rPr>
        <w:object w:dxaOrig="3080" w:dyaOrig="380">
          <v:shape id="_x0000_i1031" type="#_x0000_t75" style="width:153.6pt;height:19.2pt" o:ole="">
            <v:imagedata r:id="rId17" o:title=""/>
          </v:shape>
          <o:OLEObject Type="Embed" ProgID="Equation.3" ShapeID="_x0000_i1031" DrawAspect="Content" ObjectID="_1670061418" r:id="rId18"/>
        </w:objec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Принимая во внимание специфику данных, временной параметр</w:t>
      </w:r>
      <w:r w:rsidRPr="00B6577F">
        <w:rPr>
          <w:rFonts w:ascii="Times New Roman" w:eastAsia="Calibri" w:hAnsi="Times New Roman" w:cs="Times New Roman"/>
          <w:position w:val="-6"/>
          <w:sz w:val="24"/>
          <w:szCs w:val="24"/>
        </w:rPr>
        <w:object w:dxaOrig="139" w:dyaOrig="240">
          <v:shape id="_x0000_i1032" type="#_x0000_t75" style="width:7.2pt;height:12pt" o:ole="">
            <v:imagedata r:id="rId19" o:title=""/>
          </v:shape>
          <o:OLEObject Type="Embed" ProgID="Equation.3" ShapeID="_x0000_i1032" DrawAspect="Content" ObjectID="_1670061419" r:id="rId20"/>
        </w:objec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в статистическом анализе формируется в виде конечного дискретного множества равноотстоящих друг от друга временных тактов, то есть</w:t>
      </w:r>
      <w:r w:rsidRPr="00B6577F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260" w:dyaOrig="320">
          <v:shape id="_x0000_i1033" type="#_x0000_t75" style="width:63pt;height:15.6pt" o:ole="">
            <v:imagedata r:id="rId21" o:title=""/>
          </v:shape>
          <o:OLEObject Type="Embed" ProgID="Equation.3" ShapeID="_x0000_i1033" DrawAspect="Content" ObjectID="_1670061420" r:id="rId22"/>
        </w:object>
      </w:r>
      <w:r w:rsidRPr="00B6577F">
        <w:rPr>
          <w:rFonts w:ascii="Times New Roman" w:eastAsia="Calibri" w:hAnsi="Times New Roman" w:cs="Times New Roman"/>
          <w:sz w:val="24"/>
          <w:szCs w:val="24"/>
        </w:rPr>
        <w:t>. В статистических ежегодниках продолжительность временного такта, как правило, один год. Если количественное исследование не преследует цель строить эконометрические модели зависимостей переменных (признаков, показателей) на панельных данных, а решается задача обоснования интегральных показателей и требуется увеличить количество наблюдений для получения состоятельных оценок параметров вариабельности исходных данных, можно перейти к сплошным наблюдениям. Подобным образом формируется матрица исходных данных:</w:t>
      </w:r>
    </w:p>
    <w:p w:rsidR="00B6577F" w:rsidRPr="00B6577F" w:rsidRDefault="00B6577F" w:rsidP="00B6577F">
      <w:pPr>
        <w:spacing w:line="276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6577F">
        <w:rPr>
          <w:rFonts w:ascii="Times New Roman" w:eastAsia="Calibri" w:hAnsi="Times New Roman" w:cs="Times New Roman"/>
          <w:position w:val="-68"/>
          <w:sz w:val="24"/>
          <w:szCs w:val="24"/>
        </w:rPr>
        <w:object w:dxaOrig="2640" w:dyaOrig="1480">
          <v:shape id="_x0000_i1034" type="#_x0000_t75" style="width:132pt;height:74.4pt" o:ole="">
            <v:imagedata r:id="rId23" o:title=""/>
          </v:shape>
          <o:OLEObject Type="Embed" ProgID="Equation.3" ShapeID="_x0000_i1034" DrawAspect="Content" ObjectID="_1670061421" r:id="rId24"/>
        </w:objec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                              (1)</w:t>
      </w:r>
    </w:p>
    <w:p w:rsidR="00B6577F" w:rsidRPr="00B6577F" w:rsidRDefault="00B6577F" w:rsidP="00B6577F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где </w:t>
      </w:r>
      <w:r w:rsidRPr="00B6577F">
        <w:rPr>
          <w:rFonts w:ascii="Times New Roman" w:eastAsia="Calibri" w:hAnsi="Times New Roman" w:cs="Times New Roman"/>
          <w:position w:val="-14"/>
          <w:sz w:val="24"/>
          <w:szCs w:val="24"/>
        </w:rPr>
        <w:object w:dxaOrig="3500" w:dyaOrig="380">
          <v:shape id="_x0000_i1035" type="#_x0000_t75" style="width:175.2pt;height:19.2pt" o:ole="">
            <v:imagedata r:id="rId25" o:title=""/>
          </v:shape>
          <o:OLEObject Type="Embed" ProgID="Equation.3" ShapeID="_x0000_i1035" DrawAspect="Content" ObjectID="_1670061422" r:id="rId26"/>
        </w:objec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соответствует численной величине </w:t>
      </w:r>
      <w:r w:rsidRPr="00B6577F">
        <w:rPr>
          <w:rFonts w:ascii="Times New Roman" w:eastAsia="Calibri" w:hAnsi="Times New Roman" w:cs="Times New Roman"/>
          <w:position w:val="-10"/>
          <w:sz w:val="24"/>
          <w:szCs w:val="24"/>
        </w:rPr>
        <w:object w:dxaOrig="680" w:dyaOrig="260">
          <v:shape id="_x0000_i1036" type="#_x0000_t75" style="width:34.2pt;height:12.6pt" o:ole="">
            <v:imagedata r:id="rId27" o:title=""/>
          </v:shape>
          <o:OLEObject Type="Embed" ProgID="Equation.3" ShapeID="_x0000_i1036" DrawAspect="Content" ObjectID="_1670061423" r:id="rId28"/>
        </w:object>
      </w:r>
      <w:r w:rsidRPr="00B6577F">
        <w:rPr>
          <w:rFonts w:ascii="Times New Roman" w:eastAsia="Calibri" w:hAnsi="Times New Roman" w:cs="Times New Roman"/>
          <w:sz w:val="24"/>
          <w:szCs w:val="24"/>
        </w:rPr>
        <w:t>признака (показателя, переменной) на</w:t>
      </w:r>
      <w:r w:rsidRPr="00B6577F">
        <w:rPr>
          <w:rFonts w:ascii="Times New Roman" w:eastAsia="Calibri" w:hAnsi="Times New Roman" w:cs="Times New Roman"/>
          <w:position w:val="-6"/>
          <w:sz w:val="24"/>
          <w:szCs w:val="24"/>
        </w:rPr>
        <w:object w:dxaOrig="540" w:dyaOrig="260">
          <v:shape id="_x0000_i1037" type="#_x0000_t75" style="width:27pt;height:12.6pt" o:ole="">
            <v:imagedata r:id="rId29" o:title=""/>
          </v:shape>
          <o:OLEObject Type="Embed" ProgID="Equation.3" ShapeID="_x0000_i1037" DrawAspect="Content" ObjectID="_1670061424" r:id="rId30"/>
        </w:objec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наблюдении. </w:t>
      </w:r>
    </w:p>
    <w:p w:rsidR="00B6577F" w:rsidRPr="00B6577F" w:rsidRDefault="00B6577F" w:rsidP="00B6577F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577F">
        <w:rPr>
          <w:rFonts w:ascii="Times New Roman" w:eastAsia="Calibri" w:hAnsi="Times New Roman" w:cs="Times New Roman"/>
          <w:sz w:val="24"/>
          <w:szCs w:val="24"/>
        </w:rPr>
        <w:t>Нормирование значения показателей (переменных) к единичной длине в простейших случаях может производиться по следующим формулам:</w:t>
      </w:r>
    </w:p>
    <w:p w:rsidR="00B6577F" w:rsidRPr="00B6577F" w:rsidRDefault="00A821B4" w:rsidP="00B6577F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object w:dxaOrig="1440" w:dyaOrig="1440">
          <v:shape id="_x0000_s1026" type="#_x0000_t75" style="position:absolute;left:0;text-align:left;margin-left:174pt;margin-top:24.15pt;width:120pt;height:74.3pt;z-index:251659264;mso-position-horizontal:absolute;mso-position-horizontal-relative:text;mso-position-vertical-relative:text">
            <v:imagedata r:id="rId31" o:title=""/>
            <w10:wrap type="square" side="right"/>
          </v:shape>
          <o:OLEObject Type="Embed" ProgID="Equation.3" ShapeID="_x0000_s1026" DrawAspect="Content" ObjectID="_1670061438" r:id="rId32"/>
        </w:object>
      </w:r>
    </w:p>
    <w:p w:rsidR="00B6577F" w:rsidRPr="00B6577F" w:rsidRDefault="00B6577F" w:rsidP="00B6577F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B6577F" w:rsidRPr="00B6577F" w:rsidRDefault="00B6577F" w:rsidP="00B6577F">
      <w:pPr>
        <w:spacing w:line="276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 w:rsidRPr="00B6577F">
        <w:rPr>
          <w:rFonts w:ascii="Times New Roman" w:eastAsia="Calibri" w:hAnsi="Times New Roman" w:cs="Times New Roman"/>
          <w:sz w:val="24"/>
          <w:szCs w:val="24"/>
        </w:rPr>
        <w:t>.                            (2)</w:t>
      </w:r>
      <w:r w:rsidRPr="00B6577F">
        <w:rPr>
          <w:rFonts w:ascii="Times New Roman" w:eastAsia="Calibri" w:hAnsi="Times New Roman" w:cs="Times New Roman"/>
          <w:sz w:val="24"/>
          <w:szCs w:val="24"/>
        </w:rPr>
        <w:br w:type="textWrapping" w:clear="all"/>
        <w:t xml:space="preserve">       </w:t>
      </w:r>
      <w:proofErr w:type="gramStart"/>
      <w:r w:rsidRPr="00B6577F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формуле (2) показатели </w:t>
      </w:r>
      <w:r w:rsidRPr="00B6577F">
        <w:rPr>
          <w:rFonts w:ascii="Times New Roman" w:eastAsia="Calibri" w:hAnsi="Times New Roman" w:cs="Times New Roman"/>
          <w:position w:val="-14"/>
          <w:sz w:val="24"/>
          <w:szCs w:val="24"/>
        </w:rPr>
        <w:object w:dxaOrig="279" w:dyaOrig="380">
          <v:shape id="_x0000_i1038" type="#_x0000_t75" style="width:14.4pt;height:19.2pt" o:ole="">
            <v:imagedata r:id="rId33" o:title=""/>
          </v:shape>
          <o:OLEObject Type="Embed" ProgID="Equation.3" ShapeID="_x0000_i1038" DrawAspect="Content" ObjectID="_1670061425" r:id="rId34"/>
        </w:object>
      </w:r>
      <w:r w:rsidRPr="00B6577F">
        <w:rPr>
          <w:rFonts w:ascii="Times New Roman" w:eastAsia="Calibri" w:hAnsi="Times New Roman" w:cs="Times New Roman"/>
          <w:sz w:val="24"/>
          <w:szCs w:val="24"/>
        </w:rPr>
        <w:t>однонаправленные, с увеличением значения показателя качество функционирования бизнеса улучшается.</w:t>
      </w:r>
    </w:p>
    <w:p w:rsidR="00B6577F" w:rsidRPr="00B6577F" w:rsidRDefault="00B6577F" w:rsidP="00B6577F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6577F" w:rsidRPr="00B6577F" w:rsidRDefault="00A821B4" w:rsidP="00B6577F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object w:dxaOrig="1440" w:dyaOrig="1440">
          <v:shape id="_x0000_s1027" type="#_x0000_t75" style="position:absolute;margin-left:153pt;margin-top:12.65pt;width:116.1pt;height:89.2pt;z-index:251660288;mso-position-horizontal-relative:text;mso-position-vertical-relative:text">
            <v:imagedata r:id="rId35" o:title=""/>
            <w10:wrap type="square" side="right"/>
          </v:shape>
          <o:OLEObject Type="Embed" ProgID="Equation.3" ShapeID="_x0000_s1027" DrawAspect="Content" ObjectID="_1670061439" r:id="rId36"/>
        </w:object>
      </w:r>
    </w:p>
    <w:p w:rsidR="00B6577F" w:rsidRPr="00B6577F" w:rsidRDefault="00B6577F" w:rsidP="00B6577F">
      <w:pPr>
        <w:tabs>
          <w:tab w:val="left" w:pos="2550"/>
        </w:tabs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6577F">
        <w:rPr>
          <w:rFonts w:ascii="Times New Roman" w:eastAsia="Calibri" w:hAnsi="Times New Roman" w:cs="Times New Roman"/>
          <w:sz w:val="24"/>
          <w:szCs w:val="24"/>
        </w:rPr>
        <w:tab/>
      </w:r>
    </w:p>
    <w:p w:rsidR="00B6577F" w:rsidRPr="00B6577F" w:rsidRDefault="00B6577F" w:rsidP="00B6577F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6577F" w:rsidRPr="00B6577F" w:rsidRDefault="00B6577F" w:rsidP="00B6577F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6577F">
        <w:rPr>
          <w:rFonts w:ascii="Times New Roman" w:eastAsia="Calibri" w:hAnsi="Times New Roman" w:cs="Times New Roman"/>
          <w:sz w:val="24"/>
          <w:szCs w:val="24"/>
        </w:rPr>
        <w:t>.                                 (3)</w:t>
      </w:r>
    </w:p>
    <w:p w:rsidR="00B6577F" w:rsidRPr="00B6577F" w:rsidRDefault="00B6577F" w:rsidP="00B6577F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6577F" w:rsidRPr="00B6577F" w:rsidRDefault="00B6577F" w:rsidP="00B6577F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6577F" w:rsidRPr="00B6577F" w:rsidRDefault="00B6577F" w:rsidP="00B6577F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6577F" w:rsidRPr="00B6577F" w:rsidRDefault="00B6577F" w:rsidP="00B6577F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          В формуле (3) показатели </w:t>
      </w:r>
      <w:r w:rsidRPr="00B6577F">
        <w:rPr>
          <w:rFonts w:ascii="Times New Roman" w:eastAsia="Calibri" w:hAnsi="Times New Roman" w:cs="Times New Roman"/>
          <w:position w:val="-14"/>
          <w:sz w:val="24"/>
          <w:szCs w:val="24"/>
        </w:rPr>
        <w:object w:dxaOrig="279" w:dyaOrig="380">
          <v:shape id="_x0000_i1039" type="#_x0000_t75" style="width:14.4pt;height:19.2pt" o:ole="">
            <v:imagedata r:id="rId33" o:title=""/>
          </v:shape>
          <o:OLEObject Type="Embed" ProgID="Equation.3" ShapeID="_x0000_i1039" DrawAspect="Content" ObjectID="_1670061426" r:id="rId37"/>
        </w:object>
      </w:r>
      <w:r w:rsidRPr="00B6577F">
        <w:rPr>
          <w:rFonts w:ascii="Times New Roman" w:eastAsia="Calibri" w:hAnsi="Times New Roman" w:cs="Times New Roman"/>
          <w:sz w:val="24"/>
          <w:szCs w:val="24"/>
        </w:rPr>
        <w:t>однонаправленные, с уменьшением значения показателя качество функционирования бизнеса улучшается.</w:t>
      </w:r>
    </w:p>
    <w:p w:rsidR="00B6577F" w:rsidRPr="00B6577F" w:rsidRDefault="00B6577F" w:rsidP="00B6577F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577F">
        <w:rPr>
          <w:rFonts w:ascii="Times New Roman" w:eastAsia="Calibri" w:hAnsi="Times New Roman" w:cs="Times New Roman"/>
          <w:sz w:val="24"/>
          <w:szCs w:val="24"/>
        </w:rPr>
        <w:t>Для нормирования разнонаправленных показателей может использоваться формула (4)</w:t>
      </w:r>
    </w:p>
    <w:p w:rsidR="00B6577F" w:rsidRPr="00B6577F" w:rsidRDefault="00A821B4" w:rsidP="00B6577F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object w:dxaOrig="1440" w:dyaOrig="1440">
          <v:shape id="_x0000_s1028" type="#_x0000_t75" style="position:absolute;left:0;text-align:left;margin-left:67.15pt;margin-top:16.4pt;width:170.45pt;height:43.55pt;z-index:251661312;mso-position-horizontal-relative:text;mso-position-vertical-relative:text">
            <v:imagedata r:id="rId38" o:title=""/>
            <w10:wrap type="square" side="right"/>
          </v:shape>
          <o:OLEObject Type="Embed" ProgID="Equation.3" ShapeID="_x0000_s1028" DrawAspect="Content" ObjectID="_1670061440" r:id="rId39"/>
        </w:object>
      </w:r>
      <w:r w:rsidR="00B6577F" w:rsidRPr="00B6577F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80" w:dyaOrig="340">
          <v:shape id="_x0000_i1040" type="#_x0000_t75" style="width:9pt;height:16.8pt" o:ole="">
            <v:imagedata r:id="rId40" o:title=""/>
          </v:shape>
          <o:OLEObject Type="Embed" ProgID="Equation.3" ShapeID="_x0000_i1040" DrawAspect="Content" ObjectID="_1670061427" r:id="rId41"/>
        </w:object>
      </w:r>
      <w:r w:rsidR="00B6577F" w:rsidRPr="00B6577F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</w:t>
      </w:r>
    </w:p>
    <w:p w:rsidR="00B6577F" w:rsidRPr="00B6577F" w:rsidRDefault="00B6577F" w:rsidP="00B6577F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(4)</w:t>
      </w:r>
    </w:p>
    <w:p w:rsidR="00B6577F" w:rsidRPr="00B6577F" w:rsidRDefault="00B6577F" w:rsidP="00B6577F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6577F" w:rsidRPr="00B6577F" w:rsidRDefault="00B6577F" w:rsidP="00B6577F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6577F" w:rsidRPr="00B6577F" w:rsidRDefault="00B6577F" w:rsidP="00B6577F">
      <w:pPr>
        <w:spacing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В формуле (4) </w:t>
      </w:r>
      <w:r w:rsidRPr="00B6577F">
        <w:rPr>
          <w:rFonts w:ascii="Times New Roman" w:eastAsia="Calibri" w:hAnsi="Times New Roman" w:cs="Times New Roman"/>
          <w:sz w:val="24"/>
          <w:szCs w:val="24"/>
          <w:lang w:val="en-US"/>
        </w:rPr>
        <w:t>min</w: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Pr="00B6577F">
        <w:rPr>
          <w:rFonts w:ascii="Times New Roman" w:eastAsia="Calibri" w:hAnsi="Times New Roman" w:cs="Times New Roman"/>
          <w:sz w:val="24"/>
          <w:szCs w:val="24"/>
          <w:lang w:val="en-US"/>
        </w:rPr>
        <w:t>max</w: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берется для меняющегося индекса</w:t>
      </w:r>
      <w:r w:rsidRPr="00B6577F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780" w:dyaOrig="320">
          <v:shape id="_x0000_i1041" type="#_x0000_t75" style="width:88.8pt;height:16.2pt" o:ole="">
            <v:imagedata r:id="rId42" o:title=""/>
          </v:shape>
          <o:OLEObject Type="Embed" ProgID="Equation.3" ShapeID="_x0000_i1041" DrawAspect="Content" ObjectID="_1670061428" r:id="rId43"/>
        </w:object>
      </w:r>
      <w:r w:rsidRPr="00B6577F">
        <w:rPr>
          <w:rFonts w:ascii="Times New Roman" w:eastAsia="Calibri" w:hAnsi="Times New Roman" w:cs="Times New Roman"/>
          <w:sz w:val="24"/>
          <w:szCs w:val="24"/>
        </w:rPr>
        <w:t>, а индекс</w:t>
      </w:r>
      <w:r w:rsidRPr="00B6577F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920" w:dyaOrig="320">
          <v:shape id="_x0000_i1042" type="#_x0000_t75" style="width:96pt;height:16.2pt" o:ole="">
            <v:imagedata r:id="rId44" o:title=""/>
          </v:shape>
          <o:OLEObject Type="Embed" ProgID="Equation.3" ShapeID="_x0000_i1042" DrawAspect="Content" ObjectID="_1670061429" r:id="rId45"/>
        </w:objec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зафиксирован. Другими словами, максимальные и минимальные значения переменных (показателей) </w:t>
      </w:r>
      <w:r w:rsidRPr="00B6577F">
        <w:rPr>
          <w:rFonts w:ascii="Times New Roman" w:eastAsia="Calibri" w:hAnsi="Times New Roman" w:cs="Times New Roman"/>
          <w:position w:val="-14"/>
          <w:sz w:val="24"/>
          <w:szCs w:val="24"/>
        </w:rPr>
        <w:object w:dxaOrig="279" w:dyaOrig="380">
          <v:shape id="_x0000_i1043" type="#_x0000_t75" style="width:13.8pt;height:19.2pt" o:ole="">
            <v:imagedata r:id="rId46" o:title=""/>
          </v:shape>
          <o:OLEObject Type="Embed" ProgID="Equation.3" ShapeID="_x0000_i1043" DrawAspect="Content" ObjectID="_1670061430" r:id="rId47"/>
        </w:objec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устанавливаются по столбцам таблицы (1). В соответствии с формулами (2), (3) и (4) значения преобразованных переменных </w:t>
      </w:r>
      <w:r w:rsidRPr="00B6577F">
        <w:rPr>
          <w:rFonts w:ascii="Times New Roman" w:eastAsia="Calibri" w:hAnsi="Times New Roman" w:cs="Times New Roman"/>
          <w:position w:val="-14"/>
          <w:sz w:val="24"/>
          <w:szCs w:val="24"/>
        </w:rPr>
        <w:object w:dxaOrig="279" w:dyaOrig="380">
          <v:shape id="_x0000_i1044" type="#_x0000_t75" style="width:13.8pt;height:19.2pt" o:ole="">
            <v:imagedata r:id="rId48" o:title=""/>
          </v:shape>
          <o:OLEObject Type="Embed" ProgID="Equation.3" ShapeID="_x0000_i1044" DrawAspect="Content" ObjectID="_1670061431" r:id="rId49"/>
        </w:objec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находятся в промежутке [0;1]. Так как формат данных в таблице (матрице) (1) предполагает расположение </w:t>
      </w:r>
      <w:r w:rsidR="005F6FF4">
        <w:rPr>
          <w:rFonts w:ascii="Times New Roman" w:eastAsia="Calibri" w:hAnsi="Times New Roman" w:cs="Times New Roman"/>
          <w:sz w:val="24"/>
          <w:szCs w:val="24"/>
        </w:rPr>
        <w:t>регионов</w: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по строкам, а показателей по столбцам, каждая </w:t>
      </w:r>
      <w:r w:rsidRPr="00B6577F">
        <w:rPr>
          <w:rFonts w:ascii="Times New Roman" w:eastAsia="Calibri" w:hAnsi="Times New Roman" w:cs="Times New Roman"/>
          <w:position w:val="-6"/>
          <w:sz w:val="24"/>
          <w:szCs w:val="24"/>
        </w:rPr>
        <w:object w:dxaOrig="520" w:dyaOrig="260">
          <v:shape id="_x0000_i1045" type="#_x0000_t75" style="width:25.8pt;height:13.2pt" o:ole="">
            <v:imagedata r:id="rId50" o:title=""/>
          </v:shape>
          <o:OLEObject Type="Embed" ProgID="Equation.3" ShapeID="_x0000_i1045" DrawAspect="Content" ObjectID="_1670061432" r:id="rId51"/>
        </w:object>
      </w:r>
      <w:r w:rsidRPr="00B6577F">
        <w:rPr>
          <w:rFonts w:ascii="Times New Roman" w:eastAsia="Calibri" w:hAnsi="Times New Roman" w:cs="Times New Roman"/>
          <w:sz w:val="24"/>
          <w:szCs w:val="24"/>
        </w:rPr>
        <w:t>строка преобразованных элементов</w:t>
      </w:r>
      <w:r w:rsidRPr="00B6577F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400" w:dyaOrig="380">
          <v:shape id="_x0000_i1046" type="#_x0000_t75" style="width:70.2pt;height:19.2pt" o:ole="">
            <v:imagedata r:id="rId52" o:title=""/>
          </v:shape>
          <o:OLEObject Type="Embed" ProgID="Equation.3" ShapeID="_x0000_i1046" DrawAspect="Content" ObjectID="_1670061433" r:id="rId53"/>
        </w:objec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будет</w:t>
      </w:r>
      <w:r w:rsidR="005F6F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характеризовать новые координаты для </w:t>
      </w:r>
      <w:r w:rsidR="005F6FF4" w:rsidRPr="00B6577F">
        <w:rPr>
          <w:rFonts w:ascii="Times New Roman" w:eastAsia="Calibri" w:hAnsi="Times New Roman" w:cs="Times New Roman"/>
          <w:position w:val="-6"/>
          <w:sz w:val="24"/>
          <w:szCs w:val="24"/>
        </w:rPr>
        <w:object w:dxaOrig="580" w:dyaOrig="260">
          <v:shape id="_x0000_i1047" type="#_x0000_t75" style="width:29.4pt;height:13.2pt" o:ole="">
            <v:imagedata r:id="rId54" o:title=""/>
          </v:shape>
          <o:OLEObject Type="Embed" ProgID="Equation.3" ShapeID="_x0000_i1047" DrawAspect="Content" ObjectID="_1670061434" r:id="rId55"/>
        </w:object>
      </w:r>
      <w:r w:rsidR="005F6FF4">
        <w:rPr>
          <w:rFonts w:ascii="Times New Roman" w:eastAsia="Calibri" w:hAnsi="Times New Roman" w:cs="Times New Roman"/>
          <w:sz w:val="24"/>
          <w:szCs w:val="24"/>
        </w:rPr>
        <w:t>региона</w:t>
      </w:r>
      <w:r w:rsidRPr="00B6577F">
        <w:rPr>
          <w:rFonts w:ascii="Times New Roman" w:eastAsia="Calibri" w:hAnsi="Times New Roman" w:cs="Times New Roman"/>
          <w:sz w:val="24"/>
          <w:szCs w:val="24"/>
        </w:rPr>
        <w:t>. Соответственно элементы строки отвечают численным значениям параметров</w:t>
      </w:r>
      <w:r w:rsidRPr="00B6577F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400" w:dyaOrig="380">
          <v:shape id="_x0000_i1048" type="#_x0000_t75" style="width:70.2pt;height:19.2pt" o:ole="">
            <v:imagedata r:id="rId52" o:title=""/>
          </v:shape>
          <o:OLEObject Type="Embed" ProgID="Equation.3" ShapeID="_x0000_i1048" DrawAspect="Content" ObjectID="_1670061435" r:id="rId56"/>
        </w:objec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для </w:t>
      </w:r>
      <w:r w:rsidR="005F6FF4" w:rsidRPr="00B6577F">
        <w:rPr>
          <w:rFonts w:ascii="Times New Roman" w:eastAsia="Calibri" w:hAnsi="Times New Roman" w:cs="Times New Roman"/>
          <w:position w:val="-6"/>
          <w:sz w:val="24"/>
          <w:szCs w:val="24"/>
        </w:rPr>
        <w:object w:dxaOrig="580" w:dyaOrig="260">
          <v:shape id="_x0000_i1049" type="#_x0000_t75" style="width:29.4pt;height:13.2pt" o:ole="">
            <v:imagedata r:id="rId54" o:title=""/>
          </v:shape>
          <o:OLEObject Type="Embed" ProgID="Equation.3" ShapeID="_x0000_i1049" DrawAspect="Content" ObjectID="_1670061436" r:id="rId57"/>
        </w:object>
      </w:r>
      <w:r w:rsidR="005F6FF4">
        <w:rPr>
          <w:rFonts w:ascii="Times New Roman" w:eastAsia="Calibri" w:hAnsi="Times New Roman" w:cs="Times New Roman"/>
          <w:sz w:val="24"/>
          <w:szCs w:val="24"/>
        </w:rPr>
        <w:t>региона</w: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. Например, когда число показателей равно 6, получим картину в соответствии с иллюстративным рисунком 1. </w:t>
      </w:r>
    </w:p>
    <w:p w:rsidR="00B6577F" w:rsidRPr="00B6577F" w:rsidRDefault="00B6577F" w:rsidP="00B6577F">
      <w:pPr>
        <w:spacing w:line="276" w:lineRule="auto"/>
        <w:ind w:firstLine="567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B6577F">
        <w:rPr>
          <w:rFonts w:ascii="Times New Roman" w:eastAsia="Calibri" w:hAnsi="Times New Roman" w:cs="Times New Roman"/>
          <w:b/>
          <w:sz w:val="24"/>
          <w:szCs w:val="24"/>
        </w:rPr>
        <w:t>Важное примечание</w: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6577F">
        <w:rPr>
          <w:rFonts w:ascii="Times New Roman" w:eastAsia="Calibri" w:hAnsi="Times New Roman" w:cs="Times New Roman"/>
          <w:i/>
          <w:sz w:val="24"/>
          <w:szCs w:val="24"/>
        </w:rPr>
        <w:t>Предполагается, что изначально, переменные (показатели)</w:t>
      </w:r>
      <w:r w:rsidRPr="00B6577F">
        <w:rPr>
          <w:rFonts w:ascii="Times New Roman" w:eastAsia="Calibri" w:hAnsi="Times New Roman" w:cs="Times New Roman"/>
          <w:i/>
          <w:position w:val="-14"/>
          <w:sz w:val="24"/>
          <w:szCs w:val="24"/>
        </w:rPr>
        <w:object w:dxaOrig="279" w:dyaOrig="380">
          <v:shape id="_x0000_i1050" type="#_x0000_t75" style="width:13.8pt;height:19.2pt" o:ole="">
            <v:imagedata r:id="rId58" o:title=""/>
          </v:shape>
          <o:OLEObject Type="Embed" ProgID="Equation.3" ShapeID="_x0000_i1050" DrawAspect="Content" ObjectID="_1670061437" r:id="rId59"/>
        </w:object>
      </w:r>
      <w:r w:rsidRPr="00B6577F">
        <w:rPr>
          <w:rFonts w:ascii="Times New Roman" w:eastAsia="Calibri" w:hAnsi="Times New Roman" w:cs="Times New Roman"/>
          <w:i/>
          <w:sz w:val="24"/>
          <w:szCs w:val="24"/>
        </w:rPr>
        <w:t xml:space="preserve"> отобраны на этапе качественного анализа и отвечают одному обобщающему (интегральному) показателю (например, конкурентоспособности, инвестиционной привлекательности, инновационной активности, эффективности управления, качества продукции или оказанных услуг и т.д.).</w:t>
      </w:r>
    </w:p>
    <w:p w:rsidR="00B6577F" w:rsidRPr="00B6577F" w:rsidRDefault="00B6577F" w:rsidP="00B6577F">
      <w:pPr>
        <w:spacing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577F">
        <w:rPr>
          <w:rFonts w:ascii="Times New Roman" w:eastAsia="Calibri" w:hAnsi="Times New Roman" w:cs="Times New Roman"/>
          <w:sz w:val="24"/>
          <w:szCs w:val="24"/>
        </w:rPr>
        <w:t>Оперируя иллюстративным рисунком 1, один из возможных подходов к получению количественной меры обобщающего показателя для конкретно</w:t>
      </w:r>
      <w:r w:rsidR="005F6FF4">
        <w:rPr>
          <w:rFonts w:ascii="Times New Roman" w:eastAsia="Calibri" w:hAnsi="Times New Roman" w:cs="Times New Roman"/>
          <w:sz w:val="24"/>
          <w:szCs w:val="24"/>
        </w:rPr>
        <w:t>го региона</w: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состоит в делении (</w:t>
      </w:r>
      <w:r w:rsidRPr="00B6577F">
        <w:rPr>
          <w:rFonts w:ascii="Times New Roman" w:eastAsia="Calibri" w:hAnsi="Times New Roman" w:cs="Times New Roman"/>
          <w:i/>
          <w:sz w:val="24"/>
          <w:szCs w:val="24"/>
        </w:rPr>
        <w:t>от глагола «разделить»</w:t>
      </w:r>
      <w:r w:rsidRPr="00B6577F">
        <w:rPr>
          <w:rFonts w:ascii="Times New Roman" w:eastAsia="Calibri" w:hAnsi="Times New Roman" w:cs="Times New Roman"/>
          <w:sz w:val="24"/>
          <w:szCs w:val="24"/>
        </w:rPr>
        <w:t>) площади маленького шестиугольника на площадь большого шестиугольника. Это и будет количественной мерой интегра</w:t>
      </w:r>
      <w:r w:rsidR="005F6FF4">
        <w:rPr>
          <w:rFonts w:ascii="Times New Roman" w:eastAsia="Calibri" w:hAnsi="Times New Roman" w:cs="Times New Roman"/>
          <w:sz w:val="24"/>
          <w:szCs w:val="24"/>
        </w:rPr>
        <w:t>льного показателя для конкретного</w: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F6FF4">
        <w:rPr>
          <w:rFonts w:ascii="Times New Roman" w:eastAsia="Calibri" w:hAnsi="Times New Roman" w:cs="Times New Roman"/>
          <w:sz w:val="24"/>
          <w:szCs w:val="24"/>
        </w:rPr>
        <w:t>региона</w: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B6577F" w:rsidRPr="00B6577F" w:rsidRDefault="00B6577F" w:rsidP="00B6577F">
      <w:pPr>
        <w:tabs>
          <w:tab w:val="left" w:pos="3465"/>
        </w:tabs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657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8E6F1AD" wp14:editId="3ED23E8F">
            <wp:extent cx="5248910" cy="31089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577F" w:rsidRPr="00B6577F" w:rsidRDefault="00B6577F" w:rsidP="00B6577F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Рис. 1 – Геометрическая иллюстрация расположения </w:t>
      </w:r>
      <w:r w:rsidR="005F6FF4">
        <w:rPr>
          <w:rFonts w:ascii="Times New Roman" w:eastAsia="Calibri" w:hAnsi="Times New Roman" w:cs="Times New Roman"/>
          <w:sz w:val="24"/>
          <w:szCs w:val="24"/>
        </w:rPr>
        <w:t>региона</w:t>
      </w:r>
      <w:r w:rsidRPr="00B6577F">
        <w:rPr>
          <w:rFonts w:ascii="Times New Roman" w:eastAsia="Calibri" w:hAnsi="Times New Roman" w:cs="Times New Roman"/>
          <w:sz w:val="24"/>
          <w:szCs w:val="24"/>
        </w:rPr>
        <w:t xml:space="preserve"> в полярной системе координат (лепестковая диаграмма) по 6 показателям (преобразованным из интервала[0;1] </w:t>
      </w:r>
      <w:r w:rsidR="005F6FF4">
        <w:rPr>
          <w:rFonts w:ascii="Times New Roman" w:eastAsia="Calibri" w:hAnsi="Times New Roman" w:cs="Times New Roman"/>
          <w:sz w:val="24"/>
          <w:szCs w:val="24"/>
        </w:rPr>
        <w:t>по формуле (2))</w:t>
      </w:r>
      <w:r w:rsidRPr="00B6577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6577F" w:rsidRPr="00B6577F" w:rsidRDefault="00B6577F" w:rsidP="00B6577F">
      <w:pPr>
        <w:rPr>
          <w:rFonts w:ascii="Calibri" w:eastAsia="Calibri" w:hAnsi="Calibri" w:cs="Times New Roman"/>
          <w:sz w:val="28"/>
          <w:szCs w:val="28"/>
        </w:rPr>
      </w:pPr>
    </w:p>
    <w:p w:rsidR="00B6577F" w:rsidRPr="00B6577F" w:rsidRDefault="00B6577F" w:rsidP="00B6577F">
      <w:pPr>
        <w:rPr>
          <w:rFonts w:ascii="Calibri" w:eastAsia="Calibri" w:hAnsi="Calibri" w:cs="Times New Roman"/>
        </w:rPr>
      </w:pPr>
    </w:p>
    <w:p w:rsidR="007F2D74" w:rsidRDefault="007F2D74"/>
    <w:sectPr w:rsidR="007F2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5411B"/>
    <w:multiLevelType w:val="hybridMultilevel"/>
    <w:tmpl w:val="616CF2F6"/>
    <w:lvl w:ilvl="0" w:tplc="38FCA0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48A253C"/>
    <w:multiLevelType w:val="hybridMultilevel"/>
    <w:tmpl w:val="26D89A9C"/>
    <w:lvl w:ilvl="0" w:tplc="87FA15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7F"/>
    <w:rsid w:val="004C7910"/>
    <w:rsid w:val="004F615D"/>
    <w:rsid w:val="005F6FF4"/>
    <w:rsid w:val="007F2D74"/>
    <w:rsid w:val="00A821B4"/>
    <w:rsid w:val="00AF785D"/>
    <w:rsid w:val="00B6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E5F49A09-B29A-4D5F-8520-51B3BD95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657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61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BSEU</Company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2020-12-21T09:21:00Z</dcterms:created>
  <dcterms:modified xsi:type="dcterms:W3CDTF">2020-12-21T10:07:00Z</dcterms:modified>
</cp:coreProperties>
</file>