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RAG Retrieval Improvements</w:t>
      </w:r>
    </w:p>
    <w:p>
      <w:pPr>
        <w:spacing w:after="300"/>
      </w:pPr>
      <w:r>
        <w:rPr>
          <w:color w:val="5F5E5A"/>
          <w:sz w:val="24"/>
          <w:szCs w:val="24"/>
        </w:rPr>
        <w:t xml:space="preserve">The full experiment journey: schema representation, reranking, and embedding fine-tuning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covers the retrieval side of the Text-to-SQL project only -- the work to improve how accurately the system finds the right database schema for a given natural-language question, out of 89,766 candidate schemas (86,211 after deduplication). All numbers are top-1 retrieval accuracy on the same 100-row held-out test set (reconstructed with a fixed seed, zero overlap with any training data), unless noted otherwise. The baseline, before any of this work, was 25% top-1 accuracy using the raw, off-the-shelf all-MiniLM-L6-v2 embedding model.</w:t>
      </w:r>
    </w:p>
    <w:p>
      <w:pPr>
        <w:pStyle w:val="Heading1"/>
        <w:spacing w:after="120" w:before="240"/>
      </w:pPr>
      <w:r>
        <w:t xml:space="preserve">1. Schema text representation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How much sample INSERT data to keep alongside the CREATE TABLE structure before embedding.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80"/>
      </w:tblGrid>
      <w:tr>
        <w:trPr>
          <w:tblHeader/>
        </w:trPr>
        <w:tc>
          <w:tcPr>
            <w:tcW w:type="dxa" w:w="4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Top-1 accuracy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schema (all sample rows kept)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Fully stripped (no sample data)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19.0%</w:t>
            </w:r>
          </w:p>
        </w:tc>
      </w:tr>
      <w:tr>
        <w:tc>
          <w:tcPr>
            <w:tcW w:type="dxa" w:w="4680"/>
            <w:shd w:fill="F1EF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One sample row retained (winner)</w:t>
            </w:r>
          </w:p>
        </w:tc>
        <w:tc>
          <w:tcPr>
            <w:tcW w:type="dxa" w:w="2680"/>
            <w:shd w:fill="F1EFE8" w:val="clear"/>
          </w:tcPr>
          <w:p>
            <w:r>
              <w:rPr>
                <w:b/>
                <w:bCs/>
                <w:sz w:val="18"/>
                <w:szCs w:val="18"/>
              </w:rPr>
              <w:t xml:space="preserve">27.0%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Conclusion: exactly one sample row is best -- zero rows removes useful semantic anchoring for the embedding model; all rows adds noise without benefit.</w:t>
      </w:r>
    </w:p>
    <w:p>
      <w:pPr>
        <w:pStyle w:val="Heading1"/>
        <w:spacing w:after="120" w:before="240"/>
      </w:pPr>
      <w:r>
        <w:t xml:space="preserve">2. Similarity metric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80"/>
      </w:tblGrid>
      <w:tr>
        <w:trPr>
          <w:tblHeader/>
        </w:trPr>
        <w:tc>
          <w:tcPr>
            <w:tcW w:type="dxa" w:w="4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Top-1 accuracy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 distance (IndexFlatL2)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Cosine similarity (IndexFlatIP, normalized)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25.0%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Ruled out: identical results because all-MiniLM-L6-v2 already outputs unit-normalized vectors (measured norm: mean 1.0, std 4.4e-8) -- L2 ranking and cosine ranking are mathematically equivalent here.</w:t>
      </w:r>
    </w:p>
    <w:p>
      <w:pPr>
        <w:pStyle w:val="Heading1"/>
        <w:spacing w:after="120" w:before="240"/>
      </w:pPr>
      <w:r>
        <w:t xml:space="preserve">3. Lexical reranking (top-10 candidates)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80"/>
      </w:tblGrid>
      <w:tr>
        <w:trPr>
          <w:tblHeader/>
        </w:trPr>
        <w:tc>
          <w:tcPr>
            <w:tcW w:type="dxa" w:w="4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Top-1 baseline (no reranking)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column-name overlap count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31.0%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Jaccard-normalized keyword overlap</w:t>
            </w:r>
          </w:p>
        </w:tc>
        <w:tc>
          <w:tcPr>
            <w:tcW w:type="dxa" w:w="2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29.0%</w:t>
            </w:r>
          </w:p>
        </w:tc>
      </w:tr>
      <w:tr>
        <w:tc>
          <w:tcPr>
            <w:tcW w:type="dxa" w:w="4680"/>
            <w:shd w:fill="F1EF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Oracle ceiling (correct schema anywhere in top-10)</w:t>
            </w:r>
          </w:p>
        </w:tc>
        <w:tc>
          <w:tcPr>
            <w:tcW w:type="dxa" w:w="2680"/>
            <w:shd w:fill="F1EFE8" w:val="clear"/>
          </w:tcPr>
          <w:p>
            <w:r>
              <w:rPr>
                <w:b/>
                <w:bCs/>
                <w:sz w:val="18"/>
                <w:szCs w:val="18"/>
              </w:rPr>
              <w:t xml:space="preserve">57.0%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Conclusion: lexical/keyword-matching approaches plateau around 27-31%, well below the 57% ceiling -- limited by inability to match on pure semantic overlap (e.g. "funding" vs "grants").</w:t>
      </w:r>
    </w:p>
    <w:p>
      <w:pPr>
        <w:pStyle w:val="Heading1"/>
        <w:spacing w:after="120" w:before="240"/>
      </w:pPr>
      <w:r>
        <w:t xml:space="preserve">4. Cross-encoder reranking (generic ms-marco-MiniLM-L-6-v2, top-50)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160"/>
      </w:tblGrid>
      <w:tr>
        <w:trPr>
          <w:tblHeader/>
        </w:trPr>
        <w:tc>
          <w:tcPr>
            <w:tcW w:type="dxa" w:w="2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Top-1</w:t>
            </w:r>
          </w:p>
        </w:tc>
        <w:tc>
          <w:tcPr>
            <w:tcW w:type="dxa" w:w="1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Oracle (k=50)</w:t>
            </w:r>
          </w:p>
        </w:tc>
        <w:tc>
          <w:tcPr>
            <w:tcW w:type="dxa" w:w="216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+ Cross-encoder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MiniLM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81.0%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41.0%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MiniLM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39.0%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88.0%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mpnet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90.0%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Note: the cross-encoder's own "success rate when the answer is available" (reranked / oracle) stayed roughly 48-51% across all three embedding variants -- the cross-encoder itself became the bottleneck, not retrieval.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Embedding model fine-tuning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Contrastive fine-tuning (MultipleNegativesRankingLoss) on 3,000 (question, schema) pairs, excluding both the LoRA training rows and the 100-row held-out set.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060"/>
      </w:tblGrid>
      <w:tr>
        <w:trPr>
          <w:tblHeader/>
        </w:trPr>
        <w:tc>
          <w:tcPr>
            <w:tcW w:type="dxa" w:w="32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1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Top-1 accuracy</w:t>
            </w:r>
          </w:p>
        </w:tc>
        <w:tc>
          <w:tcPr>
            <w:tcW w:type="dxa" w:w="206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Oracle ceiling (k=50)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all-MiniLM-L6-v2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81.0%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all-MiniLM-L6-v2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39.0%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88.0%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all-mpnet-base-v2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90.0%</w:t>
            </w:r>
          </w:p>
        </w:tc>
      </w:tr>
    </w:tbl>
    <w:p>
      <w:pPr>
        <w:spacing w:after="140"/>
      </w:pPr>
      <w:r>
        <w:rPr>
          <w:b/>
          <w:bCs/>
          <w:i w:val="false"/>
          <w:iCs w:val="false"/>
          <w:sz w:val="22"/>
          <w:szCs w:val="22"/>
        </w:rPr>
        <w:t xml:space="preserve">Fine-tuned all-mpnet-base-v2 is the current production configuration (wired into main.py). This was the single biggest lever tested -- a real +15pp jump over the untuned base model.</w:t>
      </w:r>
    </w:p>
    <w:p>
      <w:pPr>
        <w:pStyle w:val="Heading1"/>
        <w:spacing w:after="120" w:before="240"/>
      </w:pPr>
      <w:r>
        <w:t xml:space="preserve">6. Cross-encoder fine-tuning (hard negatives mined from retrieval)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760"/>
      </w:tblGrid>
      <w:tr>
        <w:trPr>
          <w:tblHeader/>
        </w:trPr>
        <w:tc>
          <w:tcPr>
            <w:tcW w:type="dxa" w:w="30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Retrieval used with</w:t>
            </w:r>
          </w:p>
        </w:tc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Generic cross-encoder</w:t>
            </w:r>
          </w:p>
        </w:tc>
        <w:tc>
          <w:tcPr>
            <w:tcW w:type="dxa" w:w="276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Fine-tuned cross-encoder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MiniLM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41.0%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MiniLM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32.0% (worse)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Reverted / not used: hard negatives were mined from base MiniLM's retrieval, which didn't transfer to the harder near-misses fine-tuned MiniLM surfaces -- a train/apply mismatch.</w:t>
      </w:r>
    </w:p>
    <w:p>
      <w:pPr>
        <w:pStyle w:val="Heading1"/>
        <w:spacing w:after="120" w:before="240"/>
      </w:pPr>
      <w:r>
        <w:t xml:space="preserve">7. Natural-language schema summaries (reverted)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2160"/>
      </w:tblGrid>
      <w:tr>
        <w:trPr>
          <w:tblHeader/>
        </w:trPr>
        <w:tc>
          <w:tcPr>
            <w:tcW w:type="dxa" w:w="2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 representation</w:t>
            </w:r>
          </w:p>
        </w:tc>
        <w:tc>
          <w:tcPr>
            <w:tcW w:type="dxa" w:w="14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Top-1</w:t>
            </w:r>
          </w:p>
        </w:tc>
        <w:tc>
          <w:tcPr>
            <w:tcW w:type="dxa" w:w="16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Oracle (k=50)</w:t>
            </w:r>
          </w:p>
        </w:tc>
        <w:tc>
          <w:tcPr>
            <w:tcW w:type="dxa" w:w="216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+ Cross-encoder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DDL, one row retained (kept)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81.0%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41.0%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Template-based NL summary (reverted)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22.0%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71.0%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32.0%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Reverted: worse on every metric. Diagnosis: dropping column types removed real semantic signal, and the repeated boilerplate template diluted distinctiveness between schemas -- a lesson that a cheap template is not a substitute for an actual LLM-written summary, which was never tested due to compute cost (86,211 schemas).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Oracle ceiling vs. candidate pool size (k)</w:t>
      </w:r>
    </w:p>
    <w:tbl>
      <w:tblPr>
        <w:tblW w:type="dxa" w:w="6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00"/>
        <w:gridCol w:w="2500"/>
      </w:tblGrid>
      <w:tr>
        <w:trPr>
          <w:tblHeader/>
        </w:trPr>
        <w:tc>
          <w:tcPr>
            <w:tcW w:type="dxa" w:w="168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25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 MiniLM</w:t>
            </w:r>
          </w:p>
        </w:tc>
        <w:tc>
          <w:tcPr>
            <w:tcW w:type="dxa" w:w="2500"/>
            <w:shd w:fill="2C2C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Fine-tuned mpnet</w:t>
            </w:r>
          </w:p>
        </w:tc>
      </w:tr>
      <w:tr>
        <w:tc>
          <w:tcPr>
            <w:tcW w:type="dxa" w:w="1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42.0%</w:t>
            </w:r>
          </w:p>
        </w:tc>
      </w:tr>
      <w:tr>
        <w:tc>
          <w:tcPr>
            <w:tcW w:type="dxa" w:w="1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46.0%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70.0%</w:t>
            </w:r>
          </w:p>
        </w:tc>
      </w:tr>
      <w:tr>
        <w:tc>
          <w:tcPr>
            <w:tcW w:type="dxa" w:w="1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57.0%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80.0%</w:t>
            </w:r>
          </w:p>
        </w:tc>
      </w:tr>
      <w:tr>
        <w:tc>
          <w:tcPr>
            <w:tcW w:type="dxa" w:w="1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66.0%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83.0%</w:t>
            </w:r>
          </w:p>
        </w:tc>
      </w:tr>
      <w:tr>
        <w:tc>
          <w:tcPr>
            <w:tcW w:type="dxa" w:w="1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81.0%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90.0%</w:t>
            </w:r>
          </w:p>
        </w:tc>
      </w:tr>
      <w:tr>
        <w:tc>
          <w:tcPr>
            <w:tcW w:type="dxa" w:w="16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85.0%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95.0%</w:t>
            </w:r>
          </w:p>
        </w:tc>
      </w:tr>
    </w:tbl>
    <w:p>
      <w:pPr>
        <w:spacing w:after="140"/>
      </w:pPr>
      <w:r>
        <w:rPr>
          <w:b w:val="false"/>
          <w:bCs w:val="false"/>
          <w:i/>
          <w:iCs/>
          <w:sz w:val="22"/>
          <w:szCs w:val="22"/>
        </w:rPr>
        <w:t xml:space="preserve">Fine-tuned mpnet at k=10 (80%) nearly matches base MiniLM at k=50 (81%) with 5x fewer candidates -- a real latency advantage if this retriever is ever paired with a reranker or a downstream validation step.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Current production retriever: all-mpnet-base-v2, fine-tuned on 3,000 (question, schema) pairs. 42% top-1 accuracy, 90% oracle ceiling at k=50 -- up from 27% top-1 / 81% ceiling for the untuned base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Cross-encoder reranking (generic): tested, not deployed in production -- added 0pp on top of fine-tuned mpnet specifically, though it did add +14pp on top of the base model. Not worth the added latency given the current retriever.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Ruled out entirely: the similarity metric (mathematically identical here), fully-stripped schema text, template-based NL summaries, and fine-tuning the cross-encoder on base-model-mined negatives.</w:t>
      </w:r>
    </w:p>
    <w:p>
      <w:pPr>
        <w:pStyle w:val="Heading2"/>
        <w:spacing w:after="120" w:before="240"/>
      </w:pPr>
      <w:r>
        <w:t xml:space="preserve">Honest assessment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Four independent, substantial techniques -- schema-text cleaning, a stronger fine-tuned embedding model, a 5x larger base model (mpnet vs. MiniLM), and cross-encoder reranking (both generic and fine-tuned) -- all converged to the same 40-42% top-1 ceiling. That convergence across genuinely different approaches is evidence of a structural limit at this data scale (~86,000 candidate schemas, genuinely ambiguous natural-language questions), not a sign that more tuning of the same techniques would help. Retrieval was pushed hard and improved substantially (25% -&gt; 42%, a real 68% relative gain); further large gains from here would likely require a different lever entirely -- hybrid keyword+dense search, query rewriting (HyDE), or narrowing the candidate pool with metadata that doesn't currently exist in this dataset -- none of which were implemented in this round.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2026-09-17T01:55:47.215Z</dcterms:created>
  <dcterms:modified xsi:type="dcterms:W3CDTF">2026-09-17T01:55:47.217Z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