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A5A52"/>
          <w:spacing w:val="20"/>
          <w:sz w:val="18"/>
          <w:szCs w:val="18"/>
        </w:rPr>
        <w:t xml:space="preserve">GREENCYCLE</w:t>
      </w:r>
    </w:p>
    <w:p>
      <w:pPr>
        <w:spacing w:after="300"/>
      </w:pPr>
      <w:r>
        <w:rPr>
          <w:b/>
          <w:bCs/>
          <w:sz w:val="48"/>
          <w:szCs w:val="48"/>
        </w:rPr>
        <w:t xml:space="preserve">System Architecture</w:t>
      </w:r>
    </w:p>
    <w:p>
      <w:pPr>
        <w:spacing w:after="160"/>
      </w:pPr>
      <w:r>
        <w:rPr>
          <w:i w:val="false"/>
          <w:iCs w:val="false"/>
          <w:sz w:val="21"/>
          <w:szCs w:val="21"/>
        </w:rPr>
        <w:t xml:space="preserve">GreenCycle is a Go service that recommends (and can autonomously schedule) the cleanest time window to run a household appliance, based on a carbon-intensity forecast. This document covers the deployment architecture, every component, and exactly how each one talks to the others.</w:t>
      </w:r>
    </w:p>
    <w:p>
      <w:pPr>
        <w:pStyle w:val="Heading1"/>
        <w:spacing w:after="160" w:before="360"/>
      </w:pPr>
      <w:r>
        <w:t xml:space="preserve">1. Components</w:t>
      </w:r>
    </w:p>
    <w:p>
      <w:pPr>
        <w:spacing w:after="160"/>
      </w:pPr>
      <w:r>
        <w:rPr>
          <w:i w:val="false"/>
          <w:iCs w:val="false"/>
          <w:sz w:val="21"/>
          <w:szCs w:val="21"/>
        </w:rPr>
        <w:t xml:space="preserve">Nine moving parts, spanning two containers you don't control (external APIs, the webhook target) and four you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C9D0C4" w:sz="2"/>
              <w:left w:val="single" w:color="C9D0C4" w:sz="2"/>
              <w:bottom w:val="single" w:color="C9D0C4" w:sz="2"/>
              <w:right w:val="single" w:color="C9D0C4" w:sz="2"/>
            </w:tcBorders>
            <w:shd w:fill="E7EBE3" w:val="clear"/>
            <w:tcMar>
              <w:top w:type="dxa" w:w="100"/>
              <w:left w:type="dxa" w:w="120"/>
              <w:bottom w:type="dxa" w:w="100"/>
              <w:right w:type="dxa" w:w="120"/>
            </w:tcMar>
            <w:vAlign w:val="center"/>
          </w:tcPr>
          <w:p>
            <w:r>
              <w:rPr>
                <w:rFonts w:ascii="Consolas" w:cs="Consolas" w:eastAsia="Consolas" w:hAnsi="Consolas"/>
                <w:b/>
                <w:bCs/>
                <w:color w:val="0A5A52"/>
                <w:sz w:val="18"/>
                <w:szCs w:val="18"/>
              </w:rPr>
              <w:t xml:space="preserve">Component</w:t>
            </w:r>
          </w:p>
        </w:tc>
        <w:tc>
          <w:tcPr>
            <w:tcW w:type="dxa" w:w="2400"/>
            <w:tcBorders>
              <w:top w:val="single" w:color="C9D0C4" w:sz="2"/>
              <w:left w:val="single" w:color="C9D0C4" w:sz="2"/>
              <w:bottom w:val="single" w:color="C9D0C4" w:sz="2"/>
              <w:right w:val="single" w:color="C9D0C4" w:sz="2"/>
            </w:tcBorders>
            <w:shd w:fill="E7EBE3" w:val="clear"/>
            <w:tcMar>
              <w:top w:type="dxa" w:w="100"/>
              <w:left w:type="dxa" w:w="120"/>
              <w:bottom w:type="dxa" w:w="100"/>
              <w:right w:type="dxa" w:w="120"/>
            </w:tcMar>
            <w:vAlign w:val="center"/>
          </w:tcPr>
          <w:p>
            <w:r>
              <w:rPr>
                <w:rFonts w:ascii="Consolas" w:cs="Consolas" w:eastAsia="Consolas" w:hAnsi="Consolas"/>
                <w:b/>
                <w:bCs/>
                <w:color w:val="0A5A52"/>
                <w:sz w:val="18"/>
                <w:szCs w:val="18"/>
              </w:rPr>
              <w:t xml:space="preserve">Type</w:t>
            </w:r>
          </w:p>
        </w:tc>
        <w:tc>
          <w:tcPr>
            <w:tcW w:type="dxa" w:w="4960"/>
            <w:tcBorders>
              <w:top w:val="single" w:color="C9D0C4" w:sz="2"/>
              <w:left w:val="single" w:color="C9D0C4" w:sz="2"/>
              <w:bottom w:val="single" w:color="C9D0C4" w:sz="2"/>
              <w:right w:val="single" w:color="C9D0C4" w:sz="2"/>
            </w:tcBorders>
            <w:shd w:fill="E7EBE3" w:val="clear"/>
            <w:tcMar>
              <w:top w:type="dxa" w:w="100"/>
              <w:left w:type="dxa" w:w="120"/>
              <w:bottom w:type="dxa" w:w="100"/>
              <w:right w:type="dxa" w:w="120"/>
            </w:tcMar>
            <w:vAlign w:val="center"/>
          </w:tcPr>
          <w:p>
            <w:r>
              <w:rPr>
                <w:rFonts w:ascii="Consolas" w:cs="Consolas" w:eastAsia="Consolas" w:hAnsi="Consolas"/>
                <w:b/>
                <w:bCs/>
                <w:color w:val="0A5A52"/>
                <w:sz w:val="18"/>
                <w:szCs w:val="18"/>
              </w:rPr>
              <w:t xml:space="preserve">Responsibility</w:t>
            </w:r>
          </w:p>
        </w:tc>
      </w:tr>
      <w:tr>
        <w:tc>
          <w:tcPr>
            <w:tcW w:type="dxa" w:w="2000"/>
            <w:tcBorders>
              <w:top w:val="single" w:color="C9D0C4" w:sz="2"/>
              <w:left w:val="single" w:color="C9D0C4" w:sz="2"/>
              <w:bottom w:val="single" w:color="C9D0C4" w:sz="2"/>
              <w:right w:val="single" w:color="C9D0C4" w:sz="2"/>
            </w:tcBorders>
            <w:tcMar>
              <w:top w:type="dxa" w:w="100"/>
              <w:left w:type="dxa" w:w="120"/>
              <w:bottom w:type="dxa" w:w="100"/>
              <w:right w:type="dxa" w:w="120"/>
            </w:tcMar>
            <w:vAlign w:val="top"/>
          </w:tcPr>
          <w:p>
            <w:r>
              <w:rPr>
                <w:rFonts w:ascii="Calibri" w:cs="Calibri" w:eastAsia="Calibri" w:hAnsi="Calibri"/>
                <w:b/>
                <w:bCs/>
                <w:sz w:val="19"/>
                <w:szCs w:val="19"/>
              </w:rPr>
              <w:t xml:space="preserve">Client</w:t>
            </w:r>
          </w:p>
        </w:tc>
        <w:tc>
          <w:tcPr>
            <w:tcW w:type="dxa" w:w="2400"/>
            <w:tcBorders>
              <w:top w:val="single" w:color="C9D0C4" w:sz="2"/>
              <w:left w:val="single" w:color="C9D0C4" w:sz="2"/>
              <w:bottom w:val="single" w:color="C9D0C4" w:sz="2"/>
              <w:right w:val="single" w:color="C9D0C4" w:sz="2"/>
            </w:tcBorders>
            <w:tcMar>
              <w:top w:type="dxa" w:w="100"/>
              <w:left w:type="dxa" w:w="120"/>
              <w:bottom w:type="dxa" w:w="100"/>
              <w:right w:type="dxa" w:w="120"/>
            </w:tcMar>
            <w:vAlign w:val="top"/>
          </w:tcPr>
          <w:p>
            <w:r>
              <w:rPr>
                <w:rFonts w:ascii="Calibri" w:cs="Calibri" w:eastAsia="Calibri" w:hAnsi="Calibri"/>
                <w:b w:val="false"/>
                <w:bCs w:val="false"/>
                <w:sz w:val="19"/>
                <w:szCs w:val="19"/>
              </w:rPr>
              <w:t xml:space="preserve">External</w:t>
            </w:r>
          </w:p>
        </w:tc>
        <w:tc>
          <w:tcPr>
            <w:tcW w:type="dxa" w:w="4960"/>
            <w:tcBorders>
              <w:top w:val="single" w:color="C9D0C4" w:sz="2"/>
              <w:left w:val="single" w:color="C9D0C4" w:sz="2"/>
              <w:bottom w:val="single" w:color="C9D0C4" w:sz="2"/>
              <w:right w:val="single" w:color="C9D0C4" w:sz="2"/>
            </w:tcBorders>
            <w:tcMar>
              <w:top w:type="dxa" w:w="100"/>
              <w:left w:type="dxa" w:w="120"/>
              <w:bottom w:type="dxa" w:w="100"/>
              <w:right w:type="dxa" w:w="120"/>
            </w:tcMar>
            <w:vAlign w:val="top"/>
          </w:tcPr>
          <w:p>
            <w:r>
              <w:rPr>
                <w:rFonts w:ascii="Calibri" w:cs="Calibri" w:eastAsia="Calibri" w:hAnsi="Calibri"/>
                <w:b w:val="false"/>
                <w:bCs w:val="false"/>
                <w:sz w:val="19"/>
                <w:szCs w:val="19"/>
              </w:rPr>
              <w:t xml:space="preserve">curl / Postman / browser — issues HTTP requests to the app.</w:t>
            </w:r>
          </w:p>
        </w:tc>
      </w:tr>
      <w:tr>
        <w:tc>
          <w:tcPr>
            <w:tcW w:type="dxa" w:w="2000"/>
            <w:tcBorders>
              <w:top w:val="single" w:color="C9D0C4" w:sz="2"/>
              <w:left w:val="single" w:color="C9D0C4" w:sz="2"/>
              <w:bottom w:val="single" w:color="C9D0C4" w:sz="2"/>
              <w:right w:val="single" w:color="C9D0C4" w:sz="2"/>
            </w:tcBorders>
            <w:tcMar>
              <w:top w:type="dxa" w:w="100"/>
              <w:left w:type="dxa" w:w="120"/>
              <w:bottom w:type="dxa" w:w="100"/>
              <w:right w:type="dxa" w:w="120"/>
            </w:tcMar>
            <w:vAlign w:val="top"/>
          </w:tcPr>
          <w:p>
            <w:r>
              <w:rPr>
                <w:rFonts w:ascii="Calibri" w:cs="Calibri" w:eastAsia="Calibri" w:hAnsi="Calibri"/>
                <w:b/>
                <w:bCs/>
                <w:sz w:val="19"/>
                <w:szCs w:val="19"/>
              </w:rPr>
              <w:t xml:space="preserve">HTTP server</w:t>
            </w:r>
          </w:p>
        </w:tc>
        <w:tc>
          <w:tcPr>
            <w:tcW w:type="dxa" w:w="2400"/>
            <w:tcBorders>
              <w:top w:val="single" w:color="C9D0C4" w:sz="2"/>
              <w:left w:val="single" w:color="C9D0C4" w:sz="2"/>
              <w:bottom w:val="single" w:color="C9D0C4" w:sz="2"/>
              <w:right w:val="single" w:color="C9D0C4" w:sz="2"/>
            </w:tcBorders>
            <w:tcMar>
              <w:top w:type="dxa" w:w="100"/>
              <w:left w:type="dxa" w:w="120"/>
              <w:bottom w:type="dxa" w:w="100"/>
              <w:right w:type="dxa" w:w="120"/>
            </w:tcMar>
            <w:vAlign w:val="top"/>
          </w:tcPr>
          <w:p>
            <w:r>
              <w:rPr>
                <w:rFonts w:ascii="Calibri" w:cs="Calibri" w:eastAsia="Calibri" w:hAnsi="Calibri"/>
                <w:b w:val="false"/>
                <w:bCs w:val="false"/>
                <w:sz w:val="19"/>
                <w:szCs w:val="19"/>
              </w:rPr>
              <w:t xml:space="preserve">Go goroutine (app container)</w:t>
            </w:r>
          </w:p>
        </w:tc>
        <w:tc>
          <w:tcPr>
            <w:tcW w:type="dxa" w:w="4960"/>
            <w:tcBorders>
              <w:top w:val="single" w:color="C9D0C4" w:sz="2"/>
              <w:left w:val="single" w:color="C9D0C4" w:sz="2"/>
              <w:bottom w:val="single" w:color="C9D0C4" w:sz="2"/>
              <w:right w:val="single" w:color="C9D0C4" w:sz="2"/>
            </w:tcBorders>
            <w:tcMar>
              <w:top w:type="dxa" w:w="100"/>
              <w:left w:type="dxa" w:w="120"/>
              <w:bottom w:type="dxa" w:w="100"/>
              <w:right w:type="dxa" w:w="120"/>
            </w:tcMar>
            <w:vAlign w:val="top"/>
          </w:tcPr>
          <w:p>
            <w:r>
              <w:rPr>
                <w:rFonts w:ascii="Calibri" w:cs="Calibri" w:eastAsia="Calibri" w:hAnsi="Calibri"/>
                <w:b w:val="false"/>
                <w:bCs w:val="false"/>
                <w:sz w:val="19"/>
                <w:szCs w:val="19"/>
              </w:rPr>
              <w:t xml:space="preserve">chi router + handlers. Serves 10 REST endpoints: appliances CRUD, /calculate, /calculate/multi, /schedules.</w:t>
            </w:r>
          </w:p>
        </w:tc>
      </w:tr>
      <w:tr>
        <w:tc>
          <w:tcPr>
            <w:tcW w:type="dxa" w:w="2000"/>
            <w:tcBorders>
              <w:top w:val="single" w:color="C9D0C4" w:sz="2"/>
              <w:left w:val="single" w:color="C9D0C4" w:sz="2"/>
              <w:bottom w:val="single" w:color="C9D0C4" w:sz="2"/>
              <w:right w:val="single" w:color="C9D0C4" w:sz="2"/>
            </w:tcBorders>
            <w:tcMar>
              <w:top w:type="dxa" w:w="100"/>
              <w:left w:type="dxa" w:w="120"/>
              <w:bottom w:type="dxa" w:w="100"/>
              <w:right w:type="dxa" w:w="120"/>
            </w:tcMar>
            <w:vAlign w:val="top"/>
          </w:tcPr>
          <w:p>
            <w:r>
              <w:rPr>
                <w:rFonts w:ascii="Calibri" w:cs="Calibri" w:eastAsia="Calibri" w:hAnsi="Calibri"/>
                <w:b/>
                <w:bCs/>
                <w:sz w:val="19"/>
                <w:szCs w:val="19"/>
              </w:rPr>
              <w:t xml:space="preserve">Scheduler engine</w:t>
            </w:r>
          </w:p>
        </w:tc>
        <w:tc>
          <w:tcPr>
            <w:tcW w:type="dxa" w:w="2400"/>
            <w:tcBorders>
              <w:top w:val="single" w:color="C9D0C4" w:sz="2"/>
              <w:left w:val="single" w:color="C9D0C4" w:sz="2"/>
              <w:bottom w:val="single" w:color="C9D0C4" w:sz="2"/>
              <w:right w:val="single" w:color="C9D0C4" w:sz="2"/>
            </w:tcBorders>
            <w:tcMar>
              <w:top w:type="dxa" w:w="100"/>
              <w:left w:type="dxa" w:w="120"/>
              <w:bottom w:type="dxa" w:w="100"/>
              <w:right w:type="dxa" w:w="120"/>
            </w:tcMar>
            <w:vAlign w:val="top"/>
          </w:tcPr>
          <w:p>
            <w:r>
              <w:rPr>
                <w:rFonts w:ascii="Calibri" w:cs="Calibri" w:eastAsia="Calibri" w:hAnsi="Calibri"/>
                <w:b w:val="false"/>
                <w:bCs w:val="false"/>
                <w:sz w:val="19"/>
                <w:szCs w:val="19"/>
              </w:rPr>
              <w:t xml:space="preserve">Go goroutine (app container)</w:t>
            </w:r>
          </w:p>
        </w:tc>
        <w:tc>
          <w:tcPr>
            <w:tcW w:type="dxa" w:w="4960"/>
            <w:tcBorders>
              <w:top w:val="single" w:color="C9D0C4" w:sz="2"/>
              <w:left w:val="single" w:color="C9D0C4" w:sz="2"/>
              <w:bottom w:val="single" w:color="C9D0C4" w:sz="2"/>
              <w:right w:val="single" w:color="C9D0C4" w:sz="2"/>
            </w:tcBorders>
            <w:tcMar>
              <w:top w:type="dxa" w:w="100"/>
              <w:left w:type="dxa" w:w="120"/>
              <w:bottom w:type="dxa" w:w="100"/>
              <w:right w:type="dxa" w:w="120"/>
            </w:tcMar>
            <w:vAlign w:val="top"/>
          </w:tcPr>
          <w:p>
            <w:r>
              <w:rPr>
                <w:rFonts w:ascii="Calibri" w:cs="Calibri" w:eastAsia="Calibri" w:hAnsi="Calibri"/>
                <w:b w:val="false"/>
                <w:bCs w:val="false"/>
                <w:sz w:val="19"/>
                <w:szCs w:val="19"/>
              </w:rPr>
              <w:t xml:space="preserve">Polls Postgres every 15s for due jobs, claims them atomically, fires webhooks, records notifications.</w:t>
            </w:r>
          </w:p>
        </w:tc>
      </w:tr>
      <w:tr>
        <w:tc>
          <w:tcPr>
            <w:tcW w:type="dxa" w:w="2000"/>
            <w:tcBorders>
              <w:top w:val="single" w:color="C9D0C4" w:sz="2"/>
              <w:left w:val="single" w:color="C9D0C4" w:sz="2"/>
              <w:bottom w:val="single" w:color="C9D0C4" w:sz="2"/>
              <w:right w:val="single" w:color="C9D0C4" w:sz="2"/>
            </w:tcBorders>
            <w:tcMar>
              <w:top w:type="dxa" w:w="100"/>
              <w:left w:type="dxa" w:w="120"/>
              <w:bottom w:type="dxa" w:w="100"/>
              <w:right w:type="dxa" w:w="120"/>
            </w:tcMar>
            <w:vAlign w:val="top"/>
          </w:tcPr>
          <w:p>
            <w:r>
              <w:rPr>
                <w:rFonts w:ascii="Calibri" w:cs="Calibri" w:eastAsia="Calibri" w:hAnsi="Calibri"/>
                <w:b/>
                <w:bCs/>
                <w:sz w:val="19"/>
                <w:szCs w:val="19"/>
              </w:rPr>
              <w:t xml:space="preserve">Grid providers</w:t>
            </w:r>
          </w:p>
        </w:tc>
        <w:tc>
          <w:tcPr>
            <w:tcW w:type="dxa" w:w="2400"/>
            <w:tcBorders>
              <w:top w:val="single" w:color="C9D0C4" w:sz="2"/>
              <w:left w:val="single" w:color="C9D0C4" w:sz="2"/>
              <w:bottom w:val="single" w:color="C9D0C4" w:sz="2"/>
              <w:right w:val="single" w:color="C9D0C4" w:sz="2"/>
            </w:tcBorders>
            <w:tcMar>
              <w:top w:type="dxa" w:w="100"/>
              <w:left w:type="dxa" w:w="120"/>
              <w:bottom w:type="dxa" w:w="100"/>
              <w:right w:type="dxa" w:w="120"/>
            </w:tcMar>
            <w:vAlign w:val="top"/>
          </w:tcPr>
          <w:p>
            <w:r>
              <w:rPr>
                <w:rFonts w:ascii="Calibri" w:cs="Calibri" w:eastAsia="Calibri" w:hAnsi="Calibri"/>
                <w:b w:val="false"/>
                <w:bCs w:val="false"/>
                <w:sz w:val="19"/>
                <w:szCs w:val="19"/>
              </w:rPr>
              <w:t xml:space="preserve">In-process (mock) / external HTTPS (real)</w:t>
            </w:r>
          </w:p>
        </w:tc>
        <w:tc>
          <w:tcPr>
            <w:tcW w:type="dxa" w:w="4960"/>
            <w:tcBorders>
              <w:top w:val="single" w:color="C9D0C4" w:sz="2"/>
              <w:left w:val="single" w:color="C9D0C4" w:sz="2"/>
              <w:bottom w:val="single" w:color="C9D0C4" w:sz="2"/>
              <w:right w:val="single" w:color="C9D0C4" w:sz="2"/>
            </w:tcBorders>
            <w:tcMar>
              <w:top w:type="dxa" w:w="100"/>
              <w:left w:type="dxa" w:w="120"/>
              <w:bottom w:type="dxa" w:w="100"/>
              <w:right w:type="dxa" w:w="120"/>
            </w:tcMar>
            <w:vAlign w:val="top"/>
          </w:tcPr>
          <w:p>
            <w:r>
              <w:rPr>
                <w:rFonts w:ascii="Calibri" w:cs="Calibri" w:eastAsia="Calibri" w:hAnsi="Calibri"/>
                <w:b w:val="false"/>
                <w:bCs w:val="false"/>
                <w:sz w:val="19"/>
                <w:szCs w:val="19"/>
              </w:rPr>
              <w:t xml:space="preserve">Supply 24h carbon-intensity forecasts. Mock is synthetic; Electricity Maps and WattTime are real APIs, active only with credentials.</w:t>
            </w:r>
          </w:p>
        </w:tc>
      </w:tr>
      <w:tr>
        <w:tc>
          <w:tcPr>
            <w:tcW w:type="dxa" w:w="2000"/>
            <w:tcBorders>
              <w:top w:val="single" w:color="C9D0C4" w:sz="2"/>
              <w:left w:val="single" w:color="C9D0C4" w:sz="2"/>
              <w:bottom w:val="single" w:color="C9D0C4" w:sz="2"/>
              <w:right w:val="single" w:color="C9D0C4" w:sz="2"/>
            </w:tcBorders>
            <w:tcMar>
              <w:top w:type="dxa" w:w="100"/>
              <w:left w:type="dxa" w:w="120"/>
              <w:bottom w:type="dxa" w:w="100"/>
              <w:right w:type="dxa" w:w="120"/>
            </w:tcMar>
            <w:vAlign w:val="top"/>
          </w:tcPr>
          <w:p>
            <w:r>
              <w:rPr>
                <w:rFonts w:ascii="Calibri" w:cs="Calibri" w:eastAsia="Calibri" w:hAnsi="Calibri"/>
                <w:b/>
                <w:bCs/>
                <w:sz w:val="19"/>
                <w:szCs w:val="19"/>
              </w:rPr>
              <w:t xml:space="preserve">Postgres</w:t>
            </w:r>
          </w:p>
        </w:tc>
        <w:tc>
          <w:tcPr>
            <w:tcW w:type="dxa" w:w="2400"/>
            <w:tcBorders>
              <w:top w:val="single" w:color="C9D0C4" w:sz="2"/>
              <w:left w:val="single" w:color="C9D0C4" w:sz="2"/>
              <w:bottom w:val="single" w:color="C9D0C4" w:sz="2"/>
              <w:right w:val="single" w:color="C9D0C4" w:sz="2"/>
            </w:tcBorders>
            <w:tcMar>
              <w:top w:type="dxa" w:w="100"/>
              <w:left w:type="dxa" w:w="120"/>
              <w:bottom w:type="dxa" w:w="100"/>
              <w:right w:type="dxa" w:w="120"/>
            </w:tcMar>
            <w:vAlign w:val="top"/>
          </w:tcPr>
          <w:p>
            <w:r>
              <w:rPr>
                <w:rFonts w:ascii="Calibri" w:cs="Calibri" w:eastAsia="Calibri" w:hAnsi="Calibri"/>
                <w:b w:val="false"/>
                <w:bCs w:val="false"/>
                <w:sz w:val="19"/>
                <w:szCs w:val="19"/>
              </w:rPr>
              <w:t xml:space="preserve">Container, internal-only network</w:t>
            </w:r>
          </w:p>
        </w:tc>
        <w:tc>
          <w:tcPr>
            <w:tcW w:type="dxa" w:w="4960"/>
            <w:tcBorders>
              <w:top w:val="single" w:color="C9D0C4" w:sz="2"/>
              <w:left w:val="single" w:color="C9D0C4" w:sz="2"/>
              <w:bottom w:val="single" w:color="C9D0C4" w:sz="2"/>
              <w:right w:val="single" w:color="C9D0C4" w:sz="2"/>
            </w:tcBorders>
            <w:tcMar>
              <w:top w:type="dxa" w:w="100"/>
              <w:left w:type="dxa" w:w="120"/>
              <w:bottom w:type="dxa" w:w="100"/>
              <w:right w:type="dxa" w:w="120"/>
            </w:tcMar>
            <w:vAlign w:val="top"/>
          </w:tcPr>
          <w:p>
            <w:r>
              <w:rPr>
                <w:rFonts w:ascii="Calibri" w:cs="Calibri" w:eastAsia="Calibri" w:hAnsi="Calibri"/>
                <w:b w:val="false"/>
                <w:bCs w:val="false"/>
                <w:sz w:val="19"/>
                <w:szCs w:val="19"/>
              </w:rPr>
              <w:t xml:space="preserve">Persistent store: appliance, scheduled_run, notifications tables.</w:t>
            </w:r>
          </w:p>
        </w:tc>
      </w:tr>
      <w:tr>
        <w:tc>
          <w:tcPr>
            <w:tcW w:type="dxa" w:w="2000"/>
            <w:tcBorders>
              <w:top w:val="single" w:color="C9D0C4" w:sz="2"/>
              <w:left w:val="single" w:color="C9D0C4" w:sz="2"/>
              <w:bottom w:val="single" w:color="C9D0C4" w:sz="2"/>
              <w:right w:val="single" w:color="C9D0C4" w:sz="2"/>
            </w:tcBorders>
            <w:tcMar>
              <w:top w:type="dxa" w:w="100"/>
              <w:left w:type="dxa" w:w="120"/>
              <w:bottom w:type="dxa" w:w="100"/>
              <w:right w:type="dxa" w:w="120"/>
            </w:tcMar>
            <w:vAlign w:val="top"/>
          </w:tcPr>
          <w:p>
            <w:r>
              <w:rPr>
                <w:rFonts w:ascii="Calibri" w:cs="Calibri" w:eastAsia="Calibri" w:hAnsi="Calibri"/>
                <w:b/>
                <w:bCs/>
                <w:sz w:val="19"/>
                <w:szCs w:val="19"/>
              </w:rPr>
              <w:t xml:space="preserve">Redis</w:t>
            </w:r>
          </w:p>
        </w:tc>
        <w:tc>
          <w:tcPr>
            <w:tcW w:type="dxa" w:w="2400"/>
            <w:tcBorders>
              <w:top w:val="single" w:color="C9D0C4" w:sz="2"/>
              <w:left w:val="single" w:color="C9D0C4" w:sz="2"/>
              <w:bottom w:val="single" w:color="C9D0C4" w:sz="2"/>
              <w:right w:val="single" w:color="C9D0C4" w:sz="2"/>
            </w:tcBorders>
            <w:tcMar>
              <w:top w:type="dxa" w:w="100"/>
              <w:left w:type="dxa" w:w="120"/>
              <w:bottom w:type="dxa" w:w="100"/>
              <w:right w:type="dxa" w:w="120"/>
            </w:tcMar>
            <w:vAlign w:val="top"/>
          </w:tcPr>
          <w:p>
            <w:r>
              <w:rPr>
                <w:rFonts w:ascii="Calibri" w:cs="Calibri" w:eastAsia="Calibri" w:hAnsi="Calibri"/>
                <w:b w:val="false"/>
                <w:bCs w:val="false"/>
                <w:sz w:val="19"/>
                <w:szCs w:val="19"/>
              </w:rPr>
              <w:t xml:space="preserve">Container, internal-only network</w:t>
            </w:r>
          </w:p>
        </w:tc>
        <w:tc>
          <w:tcPr>
            <w:tcW w:type="dxa" w:w="4960"/>
            <w:tcBorders>
              <w:top w:val="single" w:color="C9D0C4" w:sz="2"/>
              <w:left w:val="single" w:color="C9D0C4" w:sz="2"/>
              <w:bottom w:val="single" w:color="C9D0C4" w:sz="2"/>
              <w:right w:val="single" w:color="C9D0C4" w:sz="2"/>
            </w:tcBorders>
            <w:tcMar>
              <w:top w:type="dxa" w:w="100"/>
              <w:left w:type="dxa" w:w="120"/>
              <w:bottom w:type="dxa" w:w="100"/>
              <w:right w:type="dxa" w:w="120"/>
            </w:tcMar>
            <w:vAlign w:val="top"/>
          </w:tcPr>
          <w:p>
            <w:r>
              <w:rPr>
                <w:rFonts w:ascii="Calibri" w:cs="Calibri" w:eastAsia="Calibri" w:hAnsi="Calibri"/>
                <w:b w:val="false"/>
                <w:bCs w:val="false"/>
                <w:sz w:val="19"/>
                <w:szCs w:val="19"/>
              </w:rPr>
              <w:t xml:space="preserve">Caches forecasts (TTL-based) to reduce provider calls and protect the rate-limit budget.</w:t>
            </w:r>
          </w:p>
        </w:tc>
      </w:tr>
      <w:tr>
        <w:tc>
          <w:tcPr>
            <w:tcW w:type="dxa" w:w="2000"/>
            <w:tcBorders>
              <w:top w:val="single" w:color="C9D0C4" w:sz="2"/>
              <w:left w:val="single" w:color="C9D0C4" w:sz="2"/>
              <w:bottom w:val="single" w:color="C9D0C4" w:sz="2"/>
              <w:right w:val="single" w:color="C9D0C4" w:sz="2"/>
            </w:tcBorders>
            <w:tcMar>
              <w:top w:type="dxa" w:w="100"/>
              <w:left w:type="dxa" w:w="120"/>
              <w:bottom w:type="dxa" w:w="100"/>
              <w:right w:type="dxa" w:w="120"/>
            </w:tcMar>
            <w:vAlign w:val="top"/>
          </w:tcPr>
          <w:p>
            <w:r>
              <w:rPr>
                <w:rFonts w:ascii="Calibri" w:cs="Calibri" w:eastAsia="Calibri" w:hAnsi="Calibri"/>
                <w:b/>
                <w:bCs/>
                <w:sz w:val="19"/>
                <w:szCs w:val="19"/>
              </w:rPr>
              <w:t xml:space="preserve">Adminer</w:t>
            </w:r>
          </w:p>
        </w:tc>
        <w:tc>
          <w:tcPr>
            <w:tcW w:type="dxa" w:w="2400"/>
            <w:tcBorders>
              <w:top w:val="single" w:color="C9D0C4" w:sz="2"/>
              <w:left w:val="single" w:color="C9D0C4" w:sz="2"/>
              <w:bottom w:val="single" w:color="C9D0C4" w:sz="2"/>
              <w:right w:val="single" w:color="C9D0C4" w:sz="2"/>
            </w:tcBorders>
            <w:tcMar>
              <w:top w:type="dxa" w:w="100"/>
              <w:left w:type="dxa" w:w="120"/>
              <w:bottom w:type="dxa" w:w="100"/>
              <w:right w:type="dxa" w:w="120"/>
            </w:tcMar>
            <w:vAlign w:val="top"/>
          </w:tcPr>
          <w:p>
            <w:r>
              <w:rPr>
                <w:rFonts w:ascii="Calibri" w:cs="Calibri" w:eastAsia="Calibri" w:hAnsi="Calibri"/>
                <w:b w:val="false"/>
                <w:bCs w:val="false"/>
                <w:sz w:val="19"/>
                <w:szCs w:val="19"/>
              </w:rPr>
              <w:t xml:space="preserve">Container, published on :8081</w:t>
            </w:r>
          </w:p>
        </w:tc>
        <w:tc>
          <w:tcPr>
            <w:tcW w:type="dxa" w:w="4960"/>
            <w:tcBorders>
              <w:top w:val="single" w:color="C9D0C4" w:sz="2"/>
              <w:left w:val="single" w:color="C9D0C4" w:sz="2"/>
              <w:bottom w:val="single" w:color="C9D0C4" w:sz="2"/>
              <w:right w:val="single" w:color="C9D0C4" w:sz="2"/>
            </w:tcBorders>
            <w:tcMar>
              <w:top w:type="dxa" w:w="100"/>
              <w:left w:type="dxa" w:w="120"/>
              <w:bottom w:type="dxa" w:w="100"/>
              <w:right w:type="dxa" w:w="120"/>
            </w:tcMar>
            <w:vAlign w:val="top"/>
          </w:tcPr>
          <w:p>
            <w:r>
              <w:rPr>
                <w:rFonts w:ascii="Calibri" w:cs="Calibri" w:eastAsia="Calibri" w:hAnsi="Calibri"/>
                <w:b w:val="false"/>
                <w:bCs w:val="false"/>
                <w:sz w:val="19"/>
                <w:szCs w:val="19"/>
              </w:rPr>
              <w:t xml:space="preserve">Web-based DB browser for manually inspecting Postgres tables.</w:t>
            </w:r>
          </w:p>
        </w:tc>
      </w:tr>
      <w:tr>
        <w:tc>
          <w:tcPr>
            <w:tcW w:type="dxa" w:w="2000"/>
            <w:tcBorders>
              <w:top w:val="single" w:color="C9D0C4" w:sz="2"/>
              <w:left w:val="single" w:color="C9D0C4" w:sz="2"/>
              <w:bottom w:val="single" w:color="C9D0C4" w:sz="2"/>
              <w:right w:val="single" w:color="C9D0C4" w:sz="2"/>
            </w:tcBorders>
            <w:tcMar>
              <w:top w:type="dxa" w:w="100"/>
              <w:left w:type="dxa" w:w="120"/>
              <w:bottom w:type="dxa" w:w="100"/>
              <w:right w:type="dxa" w:w="120"/>
            </w:tcMar>
            <w:vAlign w:val="top"/>
          </w:tcPr>
          <w:p>
            <w:r>
              <w:rPr>
                <w:rFonts w:ascii="Calibri" w:cs="Calibri" w:eastAsia="Calibri" w:hAnsi="Calibri"/>
                <w:b/>
                <w:bCs/>
                <w:sz w:val="19"/>
                <w:szCs w:val="19"/>
              </w:rPr>
              <w:t xml:space="preserve">Webhook target</w:t>
            </w:r>
          </w:p>
        </w:tc>
        <w:tc>
          <w:tcPr>
            <w:tcW w:type="dxa" w:w="2400"/>
            <w:tcBorders>
              <w:top w:val="single" w:color="C9D0C4" w:sz="2"/>
              <w:left w:val="single" w:color="C9D0C4" w:sz="2"/>
              <w:bottom w:val="single" w:color="C9D0C4" w:sz="2"/>
              <w:right w:val="single" w:color="C9D0C4" w:sz="2"/>
            </w:tcBorders>
            <w:tcMar>
              <w:top w:type="dxa" w:w="100"/>
              <w:left w:type="dxa" w:w="120"/>
              <w:bottom w:type="dxa" w:w="100"/>
              <w:right w:type="dxa" w:w="120"/>
            </w:tcMar>
            <w:vAlign w:val="top"/>
          </w:tcPr>
          <w:p>
            <w:r>
              <w:rPr>
                <w:rFonts w:ascii="Calibri" w:cs="Calibri" w:eastAsia="Calibri" w:hAnsi="Calibri"/>
                <w:b w:val="false"/>
                <w:bCs w:val="false"/>
                <w:sz w:val="19"/>
                <w:szCs w:val="19"/>
              </w:rPr>
              <w:t xml:space="preserve">External, user-configured</w:t>
            </w:r>
          </w:p>
        </w:tc>
        <w:tc>
          <w:tcPr>
            <w:tcW w:type="dxa" w:w="4960"/>
            <w:tcBorders>
              <w:top w:val="single" w:color="C9D0C4" w:sz="2"/>
              <w:left w:val="single" w:color="C9D0C4" w:sz="2"/>
              <w:bottom w:val="single" w:color="C9D0C4" w:sz="2"/>
              <w:right w:val="single" w:color="C9D0C4" w:sz="2"/>
            </w:tcBorders>
            <w:tcMar>
              <w:top w:type="dxa" w:w="100"/>
              <w:left w:type="dxa" w:w="120"/>
              <w:bottom w:type="dxa" w:w="100"/>
              <w:right w:type="dxa" w:w="120"/>
            </w:tcMar>
            <w:vAlign w:val="top"/>
          </w:tcPr>
          <w:p>
            <w:r>
              <w:rPr>
                <w:rFonts w:ascii="Calibri" w:cs="Calibri" w:eastAsia="Calibri" w:hAnsi="Calibri"/>
                <w:b w:val="false"/>
                <w:bCs w:val="false"/>
                <w:sz w:val="19"/>
                <w:szCs w:val="19"/>
              </w:rPr>
              <w:t xml:space="preserve">Whatever URL is set in SCHEDULER_WEBHOOK_URL or per-schedule — receives the fire notification.</w:t>
            </w:r>
          </w:p>
        </w:tc>
      </w:tr>
    </w:tbl>
    <w:p>
      <w:pPr>
        <w:pStyle w:val="Heading1"/>
        <w:spacing w:after="160" w:before="360"/>
      </w:pPr>
      <w:r>
        <w:t xml:space="preserve">2. Deployment architecture</w:t>
      </w:r>
    </w:p>
    <w:p>
      <w:pPr>
        <w:spacing w:after="160"/>
      </w:pPr>
      <w:r>
        <w:rPr>
          <w:i w:val="false"/>
          <w:iCs w:val="false"/>
          <w:sz w:val="21"/>
          <w:szCs w:val="21"/>
        </w:rPr>
        <w:t xml:space="preserve">All services are defined in one docker-compose.yml and started with a single “docker compose up --build”. Only the app and Adminer publish ports to the host — Postgres and Redis are reachable solely inside the compose network, so nothing outside the stack can reach the database directly except through the app itself, or through Adminer for manual inspection.</w:t>
      </w:r>
    </w:p>
    <w:p>
      <w:pPr>
        <w:spacing w:after="80" w:before="160"/>
        <w:jc w:val="center"/>
      </w:pPr>
      <w:r>
        <w:drawing>
          <wp:inline distT="0" distB="0" distL="0" distR="0">
            <wp:extent cx="5715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438400"/>
                    </a:xfrm>
                    <a:prstGeom prst="rect">
                      <a:avLst/>
                    </a:prstGeom>
                  </pic:spPr>
                </pic:pic>
              </a:graphicData>
            </a:graphic>
          </wp:inline>
        </w:drawing>
      </w:r>
    </w:p>
    <w:p>
      <w:pPr>
        <w:spacing w:after="260"/>
        <w:jc w:val="center"/>
      </w:pPr>
      <w:r>
        <w:rPr>
          <w:i/>
          <w:iCs/>
          <w:color w:val="57655C"/>
          <w:sz w:val="17"/>
          <w:szCs w:val="17"/>
        </w:rPr>
        <w:t xml:space="preserve">Figure 1 — Deployment view: containers, published ports, and the internal-only network boundary around Postgres and Redis.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160"/>
        <w:gridCol w:w="2000"/>
        <w:gridCol w:w="1600"/>
      </w:tblGrid>
      <w:tr>
        <w:tc>
          <w:tcPr>
            <w:tcW w:type="dxa" w:w="1600"/>
            <w:tcBorders>
              <w:top w:val="single" w:color="C9D0C4" w:sz="2"/>
              <w:left w:val="single" w:color="C9D0C4" w:sz="2"/>
              <w:bottom w:val="single" w:color="C9D0C4" w:sz="2"/>
              <w:right w:val="single" w:color="C9D0C4" w:sz="2"/>
            </w:tcBorders>
            <w:shd w:fill="E7EBE3" w:val="clear"/>
            <w:tcMar>
              <w:top w:type="dxa" w:w="100"/>
              <w:left w:type="dxa" w:w="120"/>
              <w:bottom w:type="dxa" w:w="100"/>
              <w:right w:type="dxa" w:w="120"/>
            </w:tcMar>
            <w:vAlign w:val="center"/>
          </w:tcPr>
          <w:p>
            <w:r>
              <w:rPr>
                <w:rFonts w:ascii="Consolas" w:cs="Consolas" w:eastAsia="Consolas" w:hAnsi="Consolas"/>
                <w:b/>
                <w:bCs/>
                <w:color w:val="0A5A52"/>
                <w:sz w:val="18"/>
                <w:szCs w:val="18"/>
              </w:rPr>
              <w:t xml:space="preserve">Service</w:t>
            </w:r>
          </w:p>
        </w:tc>
        <w:tc>
          <w:tcPr>
            <w:tcW w:type="dxa" w:w="4160"/>
            <w:tcBorders>
              <w:top w:val="single" w:color="C9D0C4" w:sz="2"/>
              <w:left w:val="single" w:color="C9D0C4" w:sz="2"/>
              <w:bottom w:val="single" w:color="C9D0C4" w:sz="2"/>
              <w:right w:val="single" w:color="C9D0C4" w:sz="2"/>
            </w:tcBorders>
            <w:shd w:fill="E7EBE3" w:val="clear"/>
            <w:tcMar>
              <w:top w:type="dxa" w:w="100"/>
              <w:left w:type="dxa" w:w="120"/>
              <w:bottom w:type="dxa" w:w="100"/>
              <w:right w:type="dxa" w:w="120"/>
            </w:tcMar>
            <w:vAlign w:val="center"/>
          </w:tcPr>
          <w:p>
            <w:r>
              <w:rPr>
                <w:rFonts w:ascii="Consolas" w:cs="Consolas" w:eastAsia="Consolas" w:hAnsi="Consolas"/>
                <w:b/>
                <w:bCs/>
                <w:color w:val="0A5A52"/>
                <w:sz w:val="18"/>
                <w:szCs w:val="18"/>
              </w:rPr>
              <w:t xml:space="preserve">Image / build</w:t>
            </w:r>
          </w:p>
        </w:tc>
        <w:tc>
          <w:tcPr>
            <w:tcW w:type="dxa" w:w="2000"/>
            <w:tcBorders>
              <w:top w:val="single" w:color="C9D0C4" w:sz="2"/>
              <w:left w:val="single" w:color="C9D0C4" w:sz="2"/>
              <w:bottom w:val="single" w:color="C9D0C4" w:sz="2"/>
              <w:right w:val="single" w:color="C9D0C4" w:sz="2"/>
            </w:tcBorders>
            <w:shd w:fill="E7EBE3" w:val="clear"/>
            <w:tcMar>
              <w:top w:type="dxa" w:w="100"/>
              <w:left w:type="dxa" w:w="120"/>
              <w:bottom w:type="dxa" w:w="100"/>
              <w:right w:type="dxa" w:w="120"/>
            </w:tcMar>
            <w:vAlign w:val="center"/>
          </w:tcPr>
          <w:p>
            <w:r>
              <w:rPr>
                <w:rFonts w:ascii="Consolas" w:cs="Consolas" w:eastAsia="Consolas" w:hAnsi="Consolas"/>
                <w:b/>
                <w:bCs/>
                <w:color w:val="0A5A52"/>
                <w:sz w:val="18"/>
                <w:szCs w:val="18"/>
              </w:rPr>
              <w:t xml:space="preserve">Port published to host</w:t>
            </w:r>
          </w:p>
        </w:tc>
        <w:tc>
          <w:tcPr>
            <w:tcW w:type="dxa" w:w="1600"/>
            <w:tcBorders>
              <w:top w:val="single" w:color="C9D0C4" w:sz="2"/>
              <w:left w:val="single" w:color="C9D0C4" w:sz="2"/>
              <w:bottom w:val="single" w:color="C9D0C4" w:sz="2"/>
              <w:right w:val="single" w:color="C9D0C4" w:sz="2"/>
            </w:tcBorders>
            <w:shd w:fill="E7EBE3" w:val="clear"/>
            <w:tcMar>
              <w:top w:type="dxa" w:w="100"/>
              <w:left w:type="dxa" w:w="120"/>
              <w:bottom w:type="dxa" w:w="100"/>
              <w:right w:type="dxa" w:w="120"/>
            </w:tcMar>
            <w:vAlign w:val="center"/>
          </w:tcPr>
          <w:p>
            <w:r>
              <w:rPr>
                <w:rFonts w:ascii="Consolas" w:cs="Consolas" w:eastAsia="Consolas" w:hAnsi="Consolas"/>
                <w:b/>
                <w:bCs/>
                <w:color w:val="0A5A52"/>
                <w:sz w:val="18"/>
                <w:szCs w:val="18"/>
              </w:rPr>
              <w:t xml:space="preserve">Network</w:t>
            </w:r>
          </w:p>
        </w:tc>
      </w:tr>
      <w:tr>
        <w:tc>
          <w:tcPr>
            <w:tcW w:type="dxa" w:w="1600"/>
            <w:tcBorders>
              <w:top w:val="single" w:color="C9D0C4" w:sz="2"/>
              <w:left w:val="single" w:color="C9D0C4" w:sz="2"/>
              <w:bottom w:val="single" w:color="C9D0C4" w:sz="2"/>
              <w:right w:val="single" w:color="C9D0C4" w:sz="2"/>
            </w:tcBorders>
            <w:tcMar>
              <w:top w:type="dxa" w:w="100"/>
              <w:left w:type="dxa" w:w="120"/>
              <w:bottom w:type="dxa" w:w="100"/>
              <w:right w:type="dxa" w:w="120"/>
            </w:tcMar>
            <w:vAlign w:val="top"/>
          </w:tcPr>
          <w:p>
            <w:r>
              <w:rPr>
                <w:rFonts w:ascii="Consolas" w:cs="Consolas" w:eastAsia="Consolas" w:hAnsi="Consolas"/>
                <w:b/>
                <w:bCs/>
                <w:sz w:val="19"/>
                <w:szCs w:val="19"/>
              </w:rPr>
              <w:t xml:space="preserve">app</w:t>
            </w:r>
          </w:p>
        </w:tc>
        <w:tc>
          <w:tcPr>
            <w:tcW w:type="dxa" w:w="4160"/>
            <w:tcBorders>
              <w:top w:val="single" w:color="C9D0C4" w:sz="2"/>
              <w:left w:val="single" w:color="C9D0C4" w:sz="2"/>
              <w:bottom w:val="single" w:color="C9D0C4" w:sz="2"/>
              <w:right w:val="single" w:color="C9D0C4" w:sz="2"/>
            </w:tcBorders>
            <w:tcMar>
              <w:top w:type="dxa" w:w="100"/>
              <w:left w:type="dxa" w:w="120"/>
              <w:bottom w:type="dxa" w:w="100"/>
              <w:right w:type="dxa" w:w="120"/>
            </w:tcMar>
            <w:vAlign w:val="top"/>
          </w:tcPr>
          <w:p>
            <w:r>
              <w:rPr>
                <w:rFonts w:ascii="Calibri" w:cs="Calibri" w:eastAsia="Calibri" w:hAnsi="Calibri"/>
                <w:b w:val="false"/>
                <w:bCs w:val="false"/>
                <w:sz w:val="19"/>
                <w:szCs w:val="19"/>
              </w:rPr>
              <w:t xml:space="preserve">built from local Dockerfile (multi-stage, ~43MB final)</w:t>
            </w:r>
          </w:p>
        </w:tc>
        <w:tc>
          <w:tcPr>
            <w:tcW w:type="dxa" w:w="2000"/>
            <w:tcBorders>
              <w:top w:val="single" w:color="C9D0C4" w:sz="2"/>
              <w:left w:val="single" w:color="C9D0C4" w:sz="2"/>
              <w:bottom w:val="single" w:color="C9D0C4" w:sz="2"/>
              <w:right w:val="single" w:color="C9D0C4" w:sz="2"/>
            </w:tcBorders>
            <w:tcMar>
              <w:top w:type="dxa" w:w="100"/>
              <w:left w:type="dxa" w:w="120"/>
              <w:bottom w:type="dxa" w:w="100"/>
              <w:right w:type="dxa" w:w="120"/>
            </w:tcMar>
            <w:vAlign w:val="top"/>
          </w:tcPr>
          <w:p>
            <w:r>
              <w:rPr>
                <w:rFonts w:ascii="Calibri" w:cs="Calibri" w:eastAsia="Calibri" w:hAnsi="Calibri"/>
                <w:b w:val="false"/>
                <w:bCs w:val="false"/>
                <w:sz w:val="19"/>
                <w:szCs w:val="19"/>
              </w:rPr>
              <w:t xml:space="preserve">8080</w:t>
            </w:r>
          </w:p>
        </w:tc>
        <w:tc>
          <w:tcPr>
            <w:tcW w:type="dxa" w:w="1600"/>
            <w:tcBorders>
              <w:top w:val="single" w:color="C9D0C4" w:sz="2"/>
              <w:left w:val="single" w:color="C9D0C4" w:sz="2"/>
              <w:bottom w:val="single" w:color="C9D0C4" w:sz="2"/>
              <w:right w:val="single" w:color="C9D0C4" w:sz="2"/>
            </w:tcBorders>
            <w:tcMar>
              <w:top w:type="dxa" w:w="100"/>
              <w:left w:type="dxa" w:w="120"/>
              <w:bottom w:type="dxa" w:w="100"/>
              <w:right w:type="dxa" w:w="120"/>
            </w:tcMar>
            <w:vAlign w:val="top"/>
          </w:tcPr>
          <w:p>
            <w:r>
              <w:rPr>
                <w:rFonts w:ascii="Calibri" w:cs="Calibri" w:eastAsia="Calibri" w:hAnsi="Calibri"/>
                <w:b w:val="false"/>
                <w:bCs w:val="false"/>
                <w:sz w:val="19"/>
                <w:szCs w:val="19"/>
              </w:rPr>
              <w:t xml:space="preserve">compose network + host</w:t>
            </w:r>
          </w:p>
        </w:tc>
      </w:tr>
      <w:tr>
        <w:tc>
          <w:tcPr>
            <w:tcW w:type="dxa" w:w="1600"/>
            <w:tcBorders>
              <w:top w:val="single" w:color="C9D0C4" w:sz="2"/>
              <w:left w:val="single" w:color="C9D0C4" w:sz="2"/>
              <w:bottom w:val="single" w:color="C9D0C4" w:sz="2"/>
              <w:right w:val="single" w:color="C9D0C4" w:sz="2"/>
            </w:tcBorders>
            <w:tcMar>
              <w:top w:type="dxa" w:w="100"/>
              <w:left w:type="dxa" w:w="120"/>
              <w:bottom w:type="dxa" w:w="100"/>
              <w:right w:type="dxa" w:w="120"/>
            </w:tcMar>
            <w:vAlign w:val="top"/>
          </w:tcPr>
          <w:p>
            <w:r>
              <w:rPr>
                <w:rFonts w:ascii="Consolas" w:cs="Consolas" w:eastAsia="Consolas" w:hAnsi="Consolas"/>
                <w:b/>
                <w:bCs/>
                <w:sz w:val="19"/>
                <w:szCs w:val="19"/>
              </w:rPr>
              <w:t xml:space="preserve">postgres</w:t>
            </w:r>
          </w:p>
        </w:tc>
        <w:tc>
          <w:tcPr>
            <w:tcW w:type="dxa" w:w="4160"/>
            <w:tcBorders>
              <w:top w:val="single" w:color="C9D0C4" w:sz="2"/>
              <w:left w:val="single" w:color="C9D0C4" w:sz="2"/>
              <w:bottom w:val="single" w:color="C9D0C4" w:sz="2"/>
              <w:right w:val="single" w:color="C9D0C4" w:sz="2"/>
            </w:tcBorders>
            <w:tcMar>
              <w:top w:type="dxa" w:w="100"/>
              <w:left w:type="dxa" w:w="120"/>
              <w:bottom w:type="dxa" w:w="100"/>
              <w:right w:type="dxa" w:w="120"/>
            </w:tcMar>
            <w:vAlign w:val="top"/>
          </w:tcPr>
          <w:p>
            <w:r>
              <w:rPr>
                <w:rFonts w:ascii="Calibri" w:cs="Calibri" w:eastAsia="Calibri" w:hAnsi="Calibri"/>
                <w:b w:val="false"/>
                <w:bCs w:val="false"/>
                <w:sz w:val="19"/>
                <w:szCs w:val="19"/>
              </w:rPr>
              <w:t xml:space="preserve">postgres:16-alpine</w:t>
            </w:r>
          </w:p>
        </w:tc>
        <w:tc>
          <w:tcPr>
            <w:tcW w:type="dxa" w:w="2000"/>
            <w:tcBorders>
              <w:top w:val="single" w:color="C9D0C4" w:sz="2"/>
              <w:left w:val="single" w:color="C9D0C4" w:sz="2"/>
              <w:bottom w:val="single" w:color="C9D0C4" w:sz="2"/>
              <w:right w:val="single" w:color="C9D0C4" w:sz="2"/>
            </w:tcBorders>
            <w:tcMar>
              <w:top w:type="dxa" w:w="100"/>
              <w:left w:type="dxa" w:w="120"/>
              <w:bottom w:type="dxa" w:w="100"/>
              <w:right w:type="dxa" w:w="120"/>
            </w:tcMar>
            <w:vAlign w:val="top"/>
          </w:tcPr>
          <w:p>
            <w:r>
              <w:rPr>
                <w:rFonts w:ascii="Calibri" w:cs="Calibri" w:eastAsia="Calibri" w:hAnsi="Calibri"/>
                <w:b w:val="false"/>
                <w:bCs w:val="false"/>
                <w:sz w:val="19"/>
                <w:szCs w:val="19"/>
              </w:rPr>
              <w:t xml:space="preserve">none (internal only)</w:t>
            </w:r>
          </w:p>
        </w:tc>
        <w:tc>
          <w:tcPr>
            <w:tcW w:type="dxa" w:w="1600"/>
            <w:tcBorders>
              <w:top w:val="single" w:color="C9D0C4" w:sz="2"/>
              <w:left w:val="single" w:color="C9D0C4" w:sz="2"/>
              <w:bottom w:val="single" w:color="C9D0C4" w:sz="2"/>
              <w:right w:val="single" w:color="C9D0C4" w:sz="2"/>
            </w:tcBorders>
            <w:tcMar>
              <w:top w:type="dxa" w:w="100"/>
              <w:left w:type="dxa" w:w="120"/>
              <w:bottom w:type="dxa" w:w="100"/>
              <w:right w:type="dxa" w:w="120"/>
            </w:tcMar>
            <w:vAlign w:val="top"/>
          </w:tcPr>
          <w:p>
            <w:r>
              <w:rPr>
                <w:rFonts w:ascii="Calibri" w:cs="Calibri" w:eastAsia="Calibri" w:hAnsi="Calibri"/>
                <w:b w:val="false"/>
                <w:bCs w:val="false"/>
                <w:sz w:val="19"/>
                <w:szCs w:val="19"/>
              </w:rPr>
              <w:t xml:space="preserve">compose network only</w:t>
            </w:r>
          </w:p>
        </w:tc>
      </w:tr>
      <w:tr>
        <w:tc>
          <w:tcPr>
            <w:tcW w:type="dxa" w:w="1600"/>
            <w:tcBorders>
              <w:top w:val="single" w:color="C9D0C4" w:sz="2"/>
              <w:left w:val="single" w:color="C9D0C4" w:sz="2"/>
              <w:bottom w:val="single" w:color="C9D0C4" w:sz="2"/>
              <w:right w:val="single" w:color="C9D0C4" w:sz="2"/>
            </w:tcBorders>
            <w:tcMar>
              <w:top w:type="dxa" w:w="100"/>
              <w:left w:type="dxa" w:w="120"/>
              <w:bottom w:type="dxa" w:w="100"/>
              <w:right w:type="dxa" w:w="120"/>
            </w:tcMar>
            <w:vAlign w:val="top"/>
          </w:tcPr>
          <w:p>
            <w:r>
              <w:rPr>
                <w:rFonts w:ascii="Consolas" w:cs="Consolas" w:eastAsia="Consolas" w:hAnsi="Consolas"/>
                <w:b/>
                <w:bCs/>
                <w:sz w:val="19"/>
                <w:szCs w:val="19"/>
              </w:rPr>
              <w:t xml:space="preserve">redis</w:t>
            </w:r>
          </w:p>
        </w:tc>
        <w:tc>
          <w:tcPr>
            <w:tcW w:type="dxa" w:w="4160"/>
            <w:tcBorders>
              <w:top w:val="single" w:color="C9D0C4" w:sz="2"/>
              <w:left w:val="single" w:color="C9D0C4" w:sz="2"/>
              <w:bottom w:val="single" w:color="C9D0C4" w:sz="2"/>
              <w:right w:val="single" w:color="C9D0C4" w:sz="2"/>
            </w:tcBorders>
            <w:tcMar>
              <w:top w:type="dxa" w:w="100"/>
              <w:left w:type="dxa" w:w="120"/>
              <w:bottom w:type="dxa" w:w="100"/>
              <w:right w:type="dxa" w:w="120"/>
            </w:tcMar>
            <w:vAlign w:val="top"/>
          </w:tcPr>
          <w:p>
            <w:r>
              <w:rPr>
                <w:rFonts w:ascii="Calibri" w:cs="Calibri" w:eastAsia="Calibri" w:hAnsi="Calibri"/>
                <w:b w:val="false"/>
                <w:bCs w:val="false"/>
                <w:sz w:val="19"/>
                <w:szCs w:val="19"/>
              </w:rPr>
              <w:t xml:space="preserve">redis:7-alpine</w:t>
            </w:r>
          </w:p>
        </w:tc>
        <w:tc>
          <w:tcPr>
            <w:tcW w:type="dxa" w:w="2000"/>
            <w:tcBorders>
              <w:top w:val="single" w:color="C9D0C4" w:sz="2"/>
              <w:left w:val="single" w:color="C9D0C4" w:sz="2"/>
              <w:bottom w:val="single" w:color="C9D0C4" w:sz="2"/>
              <w:right w:val="single" w:color="C9D0C4" w:sz="2"/>
            </w:tcBorders>
            <w:tcMar>
              <w:top w:type="dxa" w:w="100"/>
              <w:left w:type="dxa" w:w="120"/>
              <w:bottom w:type="dxa" w:w="100"/>
              <w:right w:type="dxa" w:w="120"/>
            </w:tcMar>
            <w:vAlign w:val="top"/>
          </w:tcPr>
          <w:p>
            <w:r>
              <w:rPr>
                <w:rFonts w:ascii="Calibri" w:cs="Calibri" w:eastAsia="Calibri" w:hAnsi="Calibri"/>
                <w:b w:val="false"/>
                <w:bCs w:val="false"/>
                <w:sz w:val="19"/>
                <w:szCs w:val="19"/>
              </w:rPr>
              <w:t xml:space="preserve">none (internal only)</w:t>
            </w:r>
          </w:p>
        </w:tc>
        <w:tc>
          <w:tcPr>
            <w:tcW w:type="dxa" w:w="1600"/>
            <w:tcBorders>
              <w:top w:val="single" w:color="C9D0C4" w:sz="2"/>
              <w:left w:val="single" w:color="C9D0C4" w:sz="2"/>
              <w:bottom w:val="single" w:color="C9D0C4" w:sz="2"/>
              <w:right w:val="single" w:color="C9D0C4" w:sz="2"/>
            </w:tcBorders>
            <w:tcMar>
              <w:top w:type="dxa" w:w="100"/>
              <w:left w:type="dxa" w:w="120"/>
              <w:bottom w:type="dxa" w:w="100"/>
              <w:right w:type="dxa" w:w="120"/>
            </w:tcMar>
            <w:vAlign w:val="top"/>
          </w:tcPr>
          <w:p>
            <w:r>
              <w:rPr>
                <w:rFonts w:ascii="Calibri" w:cs="Calibri" w:eastAsia="Calibri" w:hAnsi="Calibri"/>
                <w:b w:val="false"/>
                <w:bCs w:val="false"/>
                <w:sz w:val="19"/>
                <w:szCs w:val="19"/>
              </w:rPr>
              <w:t xml:space="preserve">compose network only</w:t>
            </w:r>
          </w:p>
        </w:tc>
      </w:tr>
      <w:tr>
        <w:tc>
          <w:tcPr>
            <w:tcW w:type="dxa" w:w="1600"/>
            <w:tcBorders>
              <w:top w:val="single" w:color="C9D0C4" w:sz="2"/>
              <w:left w:val="single" w:color="C9D0C4" w:sz="2"/>
              <w:bottom w:val="single" w:color="C9D0C4" w:sz="2"/>
              <w:right w:val="single" w:color="C9D0C4" w:sz="2"/>
            </w:tcBorders>
            <w:tcMar>
              <w:top w:type="dxa" w:w="100"/>
              <w:left w:type="dxa" w:w="120"/>
              <w:bottom w:type="dxa" w:w="100"/>
              <w:right w:type="dxa" w:w="120"/>
            </w:tcMar>
            <w:vAlign w:val="top"/>
          </w:tcPr>
          <w:p>
            <w:r>
              <w:rPr>
                <w:rFonts w:ascii="Consolas" w:cs="Consolas" w:eastAsia="Consolas" w:hAnsi="Consolas"/>
                <w:b/>
                <w:bCs/>
                <w:sz w:val="19"/>
                <w:szCs w:val="19"/>
              </w:rPr>
              <w:t xml:space="preserve">adminer</w:t>
            </w:r>
          </w:p>
        </w:tc>
        <w:tc>
          <w:tcPr>
            <w:tcW w:type="dxa" w:w="4160"/>
            <w:tcBorders>
              <w:top w:val="single" w:color="C9D0C4" w:sz="2"/>
              <w:left w:val="single" w:color="C9D0C4" w:sz="2"/>
              <w:bottom w:val="single" w:color="C9D0C4" w:sz="2"/>
              <w:right w:val="single" w:color="C9D0C4" w:sz="2"/>
            </w:tcBorders>
            <w:tcMar>
              <w:top w:type="dxa" w:w="100"/>
              <w:left w:type="dxa" w:w="120"/>
              <w:bottom w:type="dxa" w:w="100"/>
              <w:right w:type="dxa" w:w="120"/>
            </w:tcMar>
            <w:vAlign w:val="top"/>
          </w:tcPr>
          <w:p>
            <w:r>
              <w:rPr>
                <w:rFonts w:ascii="Calibri" w:cs="Calibri" w:eastAsia="Calibri" w:hAnsi="Calibri"/>
                <w:b w:val="false"/>
                <w:bCs w:val="false"/>
                <w:sz w:val="19"/>
                <w:szCs w:val="19"/>
              </w:rPr>
              <w:t xml:space="preserve">adminer:4</w:t>
            </w:r>
          </w:p>
        </w:tc>
        <w:tc>
          <w:tcPr>
            <w:tcW w:type="dxa" w:w="2000"/>
            <w:tcBorders>
              <w:top w:val="single" w:color="C9D0C4" w:sz="2"/>
              <w:left w:val="single" w:color="C9D0C4" w:sz="2"/>
              <w:bottom w:val="single" w:color="C9D0C4" w:sz="2"/>
              <w:right w:val="single" w:color="C9D0C4" w:sz="2"/>
            </w:tcBorders>
            <w:tcMar>
              <w:top w:type="dxa" w:w="100"/>
              <w:left w:type="dxa" w:w="120"/>
              <w:bottom w:type="dxa" w:w="100"/>
              <w:right w:type="dxa" w:w="120"/>
            </w:tcMar>
            <w:vAlign w:val="top"/>
          </w:tcPr>
          <w:p>
            <w:r>
              <w:rPr>
                <w:rFonts w:ascii="Calibri" w:cs="Calibri" w:eastAsia="Calibri" w:hAnsi="Calibri"/>
                <w:b w:val="false"/>
                <w:bCs w:val="false"/>
                <w:sz w:val="19"/>
                <w:szCs w:val="19"/>
              </w:rPr>
              <w:t xml:space="preserve">8081</w:t>
            </w:r>
          </w:p>
        </w:tc>
        <w:tc>
          <w:tcPr>
            <w:tcW w:type="dxa" w:w="1600"/>
            <w:tcBorders>
              <w:top w:val="single" w:color="C9D0C4" w:sz="2"/>
              <w:left w:val="single" w:color="C9D0C4" w:sz="2"/>
              <w:bottom w:val="single" w:color="C9D0C4" w:sz="2"/>
              <w:right w:val="single" w:color="C9D0C4" w:sz="2"/>
            </w:tcBorders>
            <w:tcMar>
              <w:top w:type="dxa" w:w="100"/>
              <w:left w:type="dxa" w:w="120"/>
              <w:bottom w:type="dxa" w:w="100"/>
              <w:right w:type="dxa" w:w="120"/>
            </w:tcMar>
            <w:vAlign w:val="top"/>
          </w:tcPr>
          <w:p>
            <w:r>
              <w:rPr>
                <w:rFonts w:ascii="Calibri" w:cs="Calibri" w:eastAsia="Calibri" w:hAnsi="Calibri"/>
                <w:b w:val="false"/>
                <w:bCs w:val="false"/>
                <w:sz w:val="19"/>
                <w:szCs w:val="19"/>
              </w:rPr>
              <w:t xml:space="preserve">compose network + host</w:t>
            </w:r>
          </w:p>
        </w:tc>
      </w:tr>
    </w:tbl>
    <w:p>
      <w:pPr>
        <w:pBdr>
          <w:left w:val="single" w:color="0E8074" w:sz="18" w:space="8"/>
        </w:pBdr>
        <w:spacing w:after="60" w:before="200"/>
        <w:ind w:left="120"/>
      </w:pPr>
      <w:r>
        <w:rPr>
          <w:b/>
          <w:bCs/>
          <w:color w:val="0A5A52"/>
          <w:sz w:val="21"/>
          <w:szCs w:val="21"/>
        </w:rPr>
        <w:t xml:space="preserve">Why Postgres and Redis have no host ports by default</w:t>
      </w:r>
    </w:p>
    <w:p>
      <w:pPr>
        <w:pBdr>
          <w:left w:val="single" w:color="0E8074" w:sz="18" w:space="8"/>
        </w:pBdr>
        <w:spacing w:after="220"/>
        <w:ind w:left="120"/>
      </w:pPr>
      <w:r>
        <w:rPr>
          <w:sz w:val="20"/>
          <w:szCs w:val="20"/>
        </w:rPr>
        <w:t xml:space="preserve">So a Postgres or Redis instance already running on the developer's own machine can never collide with the containerized ones. Host ports for both are present in docker-compose.yml but commented out, ready to enable if direct external access is ever needed.</w:t>
      </w:r>
    </w:p>
    <w:p>
      <w:pPr>
        <w:pStyle w:val="Heading1"/>
        <w:spacing w:after="160" w:before="360"/>
      </w:pPr>
      <w:r>
        <w:t xml:space="preserve">3. Component communication</w:t>
      </w:r>
    </w:p>
    <w:p>
      <w:pPr>
        <w:spacing w:after="160"/>
      </w:pPr>
      <w:r>
        <w:rPr>
          <w:i w:val="false"/>
          <w:iCs w:val="false"/>
          <w:sz w:val="21"/>
          <w:szCs w:val="21"/>
        </w:rPr>
        <w:t xml:space="preserve">Every pair of components that actually exchanges data, the protocol used, what's sent, and what causes the exchange.</w:t>
      </w:r>
    </w:p>
    <w:p>
      <w:pPr>
        <w:spacing w:after="80" w:before="160"/>
        <w:jc w:val="center"/>
      </w:pPr>
      <w:r>
        <w:drawing>
          <wp:inline distT="0" distB="0" distL="0" distR="0">
            <wp:extent cx="5715000"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971675"/>
                    </a:xfrm>
                    <a:prstGeom prst="rect">
                      <a:avLst/>
                    </a:prstGeom>
                  </pic:spPr>
                </pic:pic>
              </a:graphicData>
            </a:graphic>
          </wp:inline>
        </w:drawing>
      </w:r>
    </w:p>
    <w:p>
      <w:pPr>
        <w:spacing w:after="260"/>
        <w:jc w:val="center"/>
      </w:pPr>
      <w:r>
        <w:rPr>
          <w:i/>
          <w:iCs/>
          <w:color w:val="57655C"/>
          <w:sz w:val="17"/>
          <w:szCs w:val="17"/>
        </w:rPr>
        <w:t xml:space="preserve">Figure 2 — Request-level view: the shared calculate pipeline (top) and the independent background scheduler loop (bottom), meeting only at Postgres.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600"/>
        <w:gridCol w:w="1760"/>
      </w:tblGrid>
      <w:tr>
        <w:tc>
          <w:tcPr>
            <w:tcW w:type="dxa" w:w="2600"/>
            <w:tcBorders>
              <w:top w:val="single" w:color="C9D0C4" w:sz="2"/>
              <w:left w:val="single" w:color="C9D0C4" w:sz="2"/>
              <w:bottom w:val="single" w:color="C9D0C4" w:sz="2"/>
              <w:right w:val="single" w:color="C9D0C4" w:sz="2"/>
            </w:tcBorders>
            <w:shd w:fill="E7EBE3" w:val="clear"/>
            <w:tcMar>
              <w:top w:type="dxa" w:w="100"/>
              <w:left w:type="dxa" w:w="120"/>
              <w:bottom w:type="dxa" w:w="100"/>
              <w:right w:type="dxa" w:w="120"/>
            </w:tcMar>
            <w:vAlign w:val="center"/>
          </w:tcPr>
          <w:p>
            <w:r>
              <w:rPr>
                <w:rFonts w:ascii="Consolas" w:cs="Consolas" w:eastAsia="Consolas" w:hAnsi="Consolas"/>
                <w:b/>
                <w:bCs/>
                <w:color w:val="0A5A52"/>
                <w:sz w:val="18"/>
                <w:szCs w:val="18"/>
              </w:rPr>
              <w:t xml:space="preserve">From → To</w:t>
            </w:r>
          </w:p>
        </w:tc>
        <w:tc>
          <w:tcPr>
            <w:tcW w:type="dxa" w:w="2400"/>
            <w:tcBorders>
              <w:top w:val="single" w:color="C9D0C4" w:sz="2"/>
              <w:left w:val="single" w:color="C9D0C4" w:sz="2"/>
              <w:bottom w:val="single" w:color="C9D0C4" w:sz="2"/>
              <w:right w:val="single" w:color="C9D0C4" w:sz="2"/>
            </w:tcBorders>
            <w:shd w:fill="E7EBE3" w:val="clear"/>
            <w:tcMar>
              <w:top w:type="dxa" w:w="100"/>
              <w:left w:type="dxa" w:w="120"/>
              <w:bottom w:type="dxa" w:w="100"/>
              <w:right w:type="dxa" w:w="120"/>
            </w:tcMar>
            <w:vAlign w:val="center"/>
          </w:tcPr>
          <w:p>
            <w:r>
              <w:rPr>
                <w:rFonts w:ascii="Consolas" w:cs="Consolas" w:eastAsia="Consolas" w:hAnsi="Consolas"/>
                <w:b/>
                <w:bCs/>
                <w:color w:val="0A5A52"/>
                <w:sz w:val="18"/>
                <w:szCs w:val="18"/>
              </w:rPr>
              <w:t xml:space="preserve">Protocol</w:t>
            </w:r>
          </w:p>
        </w:tc>
        <w:tc>
          <w:tcPr>
            <w:tcW w:type="dxa" w:w="2600"/>
            <w:tcBorders>
              <w:top w:val="single" w:color="C9D0C4" w:sz="2"/>
              <w:left w:val="single" w:color="C9D0C4" w:sz="2"/>
              <w:bottom w:val="single" w:color="C9D0C4" w:sz="2"/>
              <w:right w:val="single" w:color="C9D0C4" w:sz="2"/>
            </w:tcBorders>
            <w:shd w:fill="E7EBE3" w:val="clear"/>
            <w:tcMar>
              <w:top w:type="dxa" w:w="100"/>
              <w:left w:type="dxa" w:w="120"/>
              <w:bottom w:type="dxa" w:w="100"/>
              <w:right w:type="dxa" w:w="120"/>
            </w:tcMar>
            <w:vAlign w:val="center"/>
          </w:tcPr>
          <w:p>
            <w:r>
              <w:rPr>
                <w:rFonts w:ascii="Consolas" w:cs="Consolas" w:eastAsia="Consolas" w:hAnsi="Consolas"/>
                <w:b/>
                <w:bCs/>
                <w:color w:val="0A5A52"/>
                <w:sz w:val="18"/>
                <w:szCs w:val="18"/>
              </w:rPr>
              <w:t xml:space="preserve">Data / payload</w:t>
            </w:r>
          </w:p>
        </w:tc>
        <w:tc>
          <w:tcPr>
            <w:tcW w:type="dxa" w:w="1760"/>
            <w:tcBorders>
              <w:top w:val="single" w:color="C9D0C4" w:sz="2"/>
              <w:left w:val="single" w:color="C9D0C4" w:sz="2"/>
              <w:bottom w:val="single" w:color="C9D0C4" w:sz="2"/>
              <w:right w:val="single" w:color="C9D0C4" w:sz="2"/>
            </w:tcBorders>
            <w:shd w:fill="E7EBE3" w:val="clear"/>
            <w:tcMar>
              <w:top w:type="dxa" w:w="100"/>
              <w:left w:type="dxa" w:w="120"/>
              <w:bottom w:type="dxa" w:w="100"/>
              <w:right w:type="dxa" w:w="120"/>
            </w:tcMar>
            <w:vAlign w:val="center"/>
          </w:tcPr>
          <w:p>
            <w:r>
              <w:rPr>
                <w:rFonts w:ascii="Consolas" w:cs="Consolas" w:eastAsia="Consolas" w:hAnsi="Consolas"/>
                <w:b/>
                <w:bCs/>
                <w:color w:val="0A5A52"/>
                <w:sz w:val="18"/>
                <w:szCs w:val="18"/>
              </w:rPr>
              <w:t xml:space="preserve">Triggered by</w:t>
            </w:r>
          </w:p>
        </w:tc>
      </w:tr>
      <w:tr>
        <w:tc>
          <w:tcPr>
            <w:tcW w:type="dxa" w:w="2600"/>
            <w:tcBorders>
              <w:top w:val="single" w:color="C9D0C4" w:sz="2"/>
              <w:left w:val="single" w:color="C9D0C4" w:sz="2"/>
              <w:bottom w:val="single" w:color="C9D0C4" w:sz="2"/>
              <w:right w:val="single" w:color="C9D0C4" w:sz="2"/>
            </w:tcBorders>
            <w:tcMar>
              <w:top w:type="dxa" w:w="100"/>
              <w:left w:type="dxa" w:w="120"/>
              <w:bottom w:type="dxa" w:w="100"/>
              <w:right w:type="dxa" w:w="120"/>
            </w:tcMar>
            <w:vAlign w:val="top"/>
          </w:tcPr>
          <w:p>
            <w:r>
              <w:rPr>
                <w:rFonts w:ascii="Consolas" w:cs="Consolas" w:eastAsia="Consolas" w:hAnsi="Consolas"/>
                <w:b/>
                <w:bCs/>
                <w:sz w:val="19"/>
                <w:szCs w:val="19"/>
              </w:rPr>
              <w:t xml:space="preserve">Client → HTTP server</w:t>
            </w:r>
          </w:p>
        </w:tc>
        <w:tc>
          <w:tcPr>
            <w:tcW w:type="dxa" w:w="2400"/>
            <w:tcBorders>
              <w:top w:val="single" w:color="C9D0C4" w:sz="2"/>
              <w:left w:val="single" w:color="C9D0C4" w:sz="2"/>
              <w:bottom w:val="single" w:color="C9D0C4" w:sz="2"/>
              <w:right w:val="single" w:color="C9D0C4" w:sz="2"/>
            </w:tcBorders>
            <w:tcMar>
              <w:top w:type="dxa" w:w="100"/>
              <w:left w:type="dxa" w:w="120"/>
              <w:bottom w:type="dxa" w:w="100"/>
              <w:right w:type="dxa" w:w="120"/>
            </w:tcMar>
            <w:vAlign w:val="top"/>
          </w:tcPr>
          <w:p>
            <w:r>
              <w:rPr>
                <w:rFonts w:ascii="Calibri" w:cs="Calibri" w:eastAsia="Calibri" w:hAnsi="Calibri"/>
                <w:b w:val="false"/>
                <w:bCs w:val="false"/>
                <w:sz w:val="19"/>
                <w:szCs w:val="19"/>
              </w:rPr>
              <w:t xml:space="preserve">HTTP/JSON, port 8080</w:t>
            </w:r>
          </w:p>
        </w:tc>
        <w:tc>
          <w:tcPr>
            <w:tcW w:type="dxa" w:w="2600"/>
            <w:tcBorders>
              <w:top w:val="single" w:color="C9D0C4" w:sz="2"/>
              <w:left w:val="single" w:color="C9D0C4" w:sz="2"/>
              <w:bottom w:val="single" w:color="C9D0C4" w:sz="2"/>
              <w:right w:val="single" w:color="C9D0C4" w:sz="2"/>
            </w:tcBorders>
            <w:tcMar>
              <w:top w:type="dxa" w:w="100"/>
              <w:left w:type="dxa" w:w="120"/>
              <w:bottom w:type="dxa" w:w="100"/>
              <w:right w:type="dxa" w:w="120"/>
            </w:tcMar>
            <w:vAlign w:val="top"/>
          </w:tcPr>
          <w:p>
            <w:r>
              <w:rPr>
                <w:rFonts w:ascii="Calibri" w:cs="Calibri" w:eastAsia="Calibri" w:hAnsi="Calibri"/>
                <w:b w:val="false"/>
                <w:bCs w:val="false"/>
                <w:sz w:val="19"/>
                <w:szCs w:val="19"/>
              </w:rPr>
              <w:t xml:space="preserve">Query params or JSON body</w:t>
            </w:r>
          </w:p>
        </w:tc>
        <w:tc>
          <w:tcPr>
            <w:tcW w:type="dxa" w:w="1760"/>
            <w:tcBorders>
              <w:top w:val="single" w:color="C9D0C4" w:sz="2"/>
              <w:left w:val="single" w:color="C9D0C4" w:sz="2"/>
              <w:bottom w:val="single" w:color="C9D0C4" w:sz="2"/>
              <w:right w:val="single" w:color="C9D0C4" w:sz="2"/>
            </w:tcBorders>
            <w:tcMar>
              <w:top w:type="dxa" w:w="100"/>
              <w:left w:type="dxa" w:w="120"/>
              <w:bottom w:type="dxa" w:w="100"/>
              <w:right w:type="dxa" w:w="120"/>
            </w:tcMar>
            <w:vAlign w:val="top"/>
          </w:tcPr>
          <w:p>
            <w:r>
              <w:rPr>
                <w:rFonts w:ascii="Calibri" w:cs="Calibri" w:eastAsia="Calibri" w:hAnsi="Calibri"/>
                <w:b w:val="false"/>
                <w:bCs w:val="false"/>
                <w:sz w:val="19"/>
                <w:szCs w:val="19"/>
              </w:rPr>
              <w:t xml:space="preserve">Every API call</w:t>
            </w:r>
          </w:p>
        </w:tc>
      </w:tr>
      <w:tr>
        <w:tc>
          <w:tcPr>
            <w:tcW w:type="dxa" w:w="2600"/>
            <w:tcBorders>
              <w:top w:val="single" w:color="C9D0C4" w:sz="2"/>
              <w:left w:val="single" w:color="C9D0C4" w:sz="2"/>
              <w:bottom w:val="single" w:color="C9D0C4" w:sz="2"/>
              <w:right w:val="single" w:color="C9D0C4" w:sz="2"/>
            </w:tcBorders>
            <w:tcMar>
              <w:top w:type="dxa" w:w="100"/>
              <w:left w:type="dxa" w:w="120"/>
              <w:bottom w:type="dxa" w:w="100"/>
              <w:right w:type="dxa" w:w="120"/>
            </w:tcMar>
            <w:vAlign w:val="top"/>
          </w:tcPr>
          <w:p>
            <w:r>
              <w:rPr>
                <w:rFonts w:ascii="Consolas" w:cs="Consolas" w:eastAsia="Consolas" w:hAnsi="Consolas"/>
                <w:b/>
                <w:bCs/>
                <w:sz w:val="19"/>
                <w:szCs w:val="19"/>
              </w:rPr>
              <w:t xml:space="preserve">HTTP server → Postgres</w:t>
            </w:r>
          </w:p>
        </w:tc>
        <w:tc>
          <w:tcPr>
            <w:tcW w:type="dxa" w:w="2400"/>
            <w:tcBorders>
              <w:top w:val="single" w:color="C9D0C4" w:sz="2"/>
              <w:left w:val="single" w:color="C9D0C4" w:sz="2"/>
              <w:bottom w:val="single" w:color="C9D0C4" w:sz="2"/>
              <w:right w:val="single" w:color="C9D0C4" w:sz="2"/>
            </w:tcBorders>
            <w:tcMar>
              <w:top w:type="dxa" w:w="100"/>
              <w:left w:type="dxa" w:w="120"/>
              <w:bottom w:type="dxa" w:w="100"/>
              <w:right w:type="dxa" w:w="120"/>
            </w:tcMar>
            <w:vAlign w:val="top"/>
          </w:tcPr>
          <w:p>
            <w:r>
              <w:rPr>
                <w:rFonts w:ascii="Calibri" w:cs="Calibri" w:eastAsia="Calibri" w:hAnsi="Calibri"/>
                <w:b w:val="false"/>
                <w:bCs w:val="false"/>
                <w:sz w:val="19"/>
                <w:szCs w:val="19"/>
              </w:rPr>
              <w:t xml:space="preserve">SQL over TCP (pgx driver)</w:t>
            </w:r>
          </w:p>
        </w:tc>
        <w:tc>
          <w:tcPr>
            <w:tcW w:type="dxa" w:w="2600"/>
            <w:tcBorders>
              <w:top w:val="single" w:color="C9D0C4" w:sz="2"/>
              <w:left w:val="single" w:color="C9D0C4" w:sz="2"/>
              <w:bottom w:val="single" w:color="C9D0C4" w:sz="2"/>
              <w:right w:val="single" w:color="C9D0C4" w:sz="2"/>
            </w:tcBorders>
            <w:tcMar>
              <w:top w:type="dxa" w:w="100"/>
              <w:left w:type="dxa" w:w="120"/>
              <w:bottom w:type="dxa" w:w="100"/>
              <w:right w:type="dxa" w:w="120"/>
            </w:tcMar>
            <w:vAlign w:val="top"/>
          </w:tcPr>
          <w:p>
            <w:r>
              <w:rPr>
                <w:rFonts w:ascii="Calibri" w:cs="Calibri" w:eastAsia="Calibri" w:hAnsi="Calibri"/>
                <w:b w:val="false"/>
                <w:bCs w:val="false"/>
                <w:sz w:val="19"/>
                <w:szCs w:val="19"/>
              </w:rPr>
              <w:t xml:space="preserve">Appliance rows, scheduled_run rows</w:t>
            </w:r>
          </w:p>
        </w:tc>
        <w:tc>
          <w:tcPr>
            <w:tcW w:type="dxa" w:w="1760"/>
            <w:tcBorders>
              <w:top w:val="single" w:color="C9D0C4" w:sz="2"/>
              <w:left w:val="single" w:color="C9D0C4" w:sz="2"/>
              <w:bottom w:val="single" w:color="C9D0C4" w:sz="2"/>
              <w:right w:val="single" w:color="C9D0C4" w:sz="2"/>
            </w:tcBorders>
            <w:tcMar>
              <w:top w:type="dxa" w:w="100"/>
              <w:left w:type="dxa" w:w="120"/>
              <w:bottom w:type="dxa" w:w="100"/>
              <w:right w:type="dxa" w:w="120"/>
            </w:tcMar>
            <w:vAlign w:val="top"/>
          </w:tcPr>
          <w:p>
            <w:r>
              <w:rPr>
                <w:rFonts w:ascii="Calibri" w:cs="Calibri" w:eastAsia="Calibri" w:hAnsi="Calibri"/>
                <w:b w:val="false"/>
                <w:bCs w:val="false"/>
                <w:sz w:val="19"/>
                <w:szCs w:val="19"/>
              </w:rPr>
              <w:t xml:space="preserve">Every request needing data</w:t>
            </w:r>
          </w:p>
        </w:tc>
      </w:tr>
      <w:tr>
        <w:tc>
          <w:tcPr>
            <w:tcW w:type="dxa" w:w="2600"/>
            <w:tcBorders>
              <w:top w:val="single" w:color="C9D0C4" w:sz="2"/>
              <w:left w:val="single" w:color="C9D0C4" w:sz="2"/>
              <w:bottom w:val="single" w:color="C9D0C4" w:sz="2"/>
              <w:right w:val="single" w:color="C9D0C4" w:sz="2"/>
            </w:tcBorders>
            <w:tcMar>
              <w:top w:type="dxa" w:w="100"/>
              <w:left w:type="dxa" w:w="120"/>
              <w:bottom w:type="dxa" w:w="100"/>
              <w:right w:type="dxa" w:w="120"/>
            </w:tcMar>
            <w:vAlign w:val="top"/>
          </w:tcPr>
          <w:p>
            <w:r>
              <w:rPr>
                <w:rFonts w:ascii="Consolas" w:cs="Consolas" w:eastAsia="Consolas" w:hAnsi="Consolas"/>
                <w:b/>
                <w:bCs/>
                <w:sz w:val="19"/>
                <w:szCs w:val="19"/>
              </w:rPr>
              <w:t xml:space="preserve">HTTP server → Grid providers</w:t>
            </w:r>
          </w:p>
        </w:tc>
        <w:tc>
          <w:tcPr>
            <w:tcW w:type="dxa" w:w="2400"/>
            <w:tcBorders>
              <w:top w:val="single" w:color="C9D0C4" w:sz="2"/>
              <w:left w:val="single" w:color="C9D0C4" w:sz="2"/>
              <w:bottom w:val="single" w:color="C9D0C4" w:sz="2"/>
              <w:right w:val="single" w:color="C9D0C4" w:sz="2"/>
            </w:tcBorders>
            <w:tcMar>
              <w:top w:type="dxa" w:w="100"/>
              <w:left w:type="dxa" w:w="120"/>
              <w:bottom w:type="dxa" w:w="100"/>
              <w:right w:type="dxa" w:w="120"/>
            </w:tcMar>
            <w:vAlign w:val="top"/>
          </w:tcPr>
          <w:p>
            <w:r>
              <w:rPr>
                <w:rFonts w:ascii="Calibri" w:cs="Calibri" w:eastAsia="Calibri" w:hAnsi="Calibri"/>
                <w:b w:val="false"/>
                <w:bCs w:val="false"/>
                <w:sz w:val="19"/>
                <w:szCs w:val="19"/>
              </w:rPr>
              <w:t xml:space="preserve">In-process call (mock) or HTTPS (real)</w:t>
            </w:r>
          </w:p>
        </w:tc>
        <w:tc>
          <w:tcPr>
            <w:tcW w:type="dxa" w:w="2600"/>
            <w:tcBorders>
              <w:top w:val="single" w:color="C9D0C4" w:sz="2"/>
              <w:left w:val="single" w:color="C9D0C4" w:sz="2"/>
              <w:bottom w:val="single" w:color="C9D0C4" w:sz="2"/>
              <w:right w:val="single" w:color="C9D0C4" w:sz="2"/>
            </w:tcBorders>
            <w:tcMar>
              <w:top w:type="dxa" w:w="100"/>
              <w:left w:type="dxa" w:w="120"/>
              <w:bottom w:type="dxa" w:w="100"/>
              <w:right w:type="dxa" w:w="120"/>
            </w:tcMar>
            <w:vAlign w:val="top"/>
          </w:tcPr>
          <w:p>
            <w:r>
              <w:rPr>
                <w:rFonts w:ascii="Calibri" w:cs="Calibri" w:eastAsia="Calibri" w:hAnsi="Calibri"/>
                <w:b w:val="false"/>
                <w:bCs w:val="false"/>
                <w:sz w:val="19"/>
                <w:szCs w:val="19"/>
              </w:rPr>
              <w:t xml:space="preserve">Zip code in → 24 GridDataPoints out</w:t>
            </w:r>
          </w:p>
        </w:tc>
        <w:tc>
          <w:tcPr>
            <w:tcW w:type="dxa" w:w="1760"/>
            <w:tcBorders>
              <w:top w:val="single" w:color="C9D0C4" w:sz="2"/>
              <w:left w:val="single" w:color="C9D0C4" w:sz="2"/>
              <w:bottom w:val="single" w:color="C9D0C4" w:sz="2"/>
              <w:right w:val="single" w:color="C9D0C4" w:sz="2"/>
            </w:tcBorders>
            <w:tcMar>
              <w:top w:type="dxa" w:w="100"/>
              <w:left w:type="dxa" w:w="120"/>
              <w:bottom w:type="dxa" w:w="100"/>
              <w:right w:type="dxa" w:w="120"/>
            </w:tcMar>
            <w:vAlign w:val="top"/>
          </w:tcPr>
          <w:p>
            <w:r>
              <w:rPr>
                <w:rFonts w:ascii="Calibri" w:cs="Calibri" w:eastAsia="Calibri" w:hAnsi="Calibri"/>
                <w:b w:val="false"/>
                <w:bCs w:val="false"/>
                <w:sz w:val="19"/>
                <w:szCs w:val="19"/>
              </w:rPr>
              <w:t xml:space="preserve">Every /calculate and /calculate/multi call</w:t>
            </w:r>
          </w:p>
        </w:tc>
      </w:tr>
      <w:tr>
        <w:tc>
          <w:tcPr>
            <w:tcW w:type="dxa" w:w="2600"/>
            <w:tcBorders>
              <w:top w:val="single" w:color="C9D0C4" w:sz="2"/>
              <w:left w:val="single" w:color="C9D0C4" w:sz="2"/>
              <w:bottom w:val="single" w:color="C9D0C4" w:sz="2"/>
              <w:right w:val="single" w:color="C9D0C4" w:sz="2"/>
            </w:tcBorders>
            <w:tcMar>
              <w:top w:type="dxa" w:w="100"/>
              <w:left w:type="dxa" w:w="120"/>
              <w:bottom w:type="dxa" w:w="100"/>
              <w:right w:type="dxa" w:w="120"/>
            </w:tcMar>
            <w:vAlign w:val="top"/>
          </w:tcPr>
          <w:p>
            <w:r>
              <w:rPr>
                <w:rFonts w:ascii="Consolas" w:cs="Consolas" w:eastAsia="Consolas" w:hAnsi="Consolas"/>
                <w:b/>
                <w:bCs/>
                <w:sz w:val="19"/>
                <w:szCs w:val="19"/>
              </w:rPr>
              <w:t xml:space="preserve">HTTP server ↔ Redis</w:t>
            </w:r>
          </w:p>
        </w:tc>
        <w:tc>
          <w:tcPr>
            <w:tcW w:type="dxa" w:w="2400"/>
            <w:tcBorders>
              <w:top w:val="single" w:color="C9D0C4" w:sz="2"/>
              <w:left w:val="single" w:color="C9D0C4" w:sz="2"/>
              <w:bottom w:val="single" w:color="C9D0C4" w:sz="2"/>
              <w:right w:val="single" w:color="C9D0C4" w:sz="2"/>
            </w:tcBorders>
            <w:tcMar>
              <w:top w:type="dxa" w:w="100"/>
              <w:left w:type="dxa" w:w="120"/>
              <w:bottom w:type="dxa" w:w="100"/>
              <w:right w:type="dxa" w:w="120"/>
            </w:tcMar>
            <w:vAlign w:val="top"/>
          </w:tcPr>
          <w:p>
            <w:r>
              <w:rPr>
                <w:rFonts w:ascii="Calibri" w:cs="Calibri" w:eastAsia="Calibri" w:hAnsi="Calibri"/>
                <w:b w:val="false"/>
                <w:bCs w:val="false"/>
                <w:sz w:val="19"/>
                <w:szCs w:val="19"/>
              </w:rPr>
              <w:t xml:space="preserve">Redis wire protocol (RESP)</w:t>
            </w:r>
          </w:p>
        </w:tc>
        <w:tc>
          <w:tcPr>
            <w:tcW w:type="dxa" w:w="2600"/>
            <w:tcBorders>
              <w:top w:val="single" w:color="C9D0C4" w:sz="2"/>
              <w:left w:val="single" w:color="C9D0C4" w:sz="2"/>
              <w:bottom w:val="single" w:color="C9D0C4" w:sz="2"/>
              <w:right w:val="single" w:color="C9D0C4" w:sz="2"/>
            </w:tcBorders>
            <w:tcMar>
              <w:top w:type="dxa" w:w="100"/>
              <w:left w:type="dxa" w:w="120"/>
              <w:bottom w:type="dxa" w:w="100"/>
              <w:right w:type="dxa" w:w="120"/>
            </w:tcMar>
            <w:vAlign w:val="top"/>
          </w:tcPr>
          <w:p>
            <w:r>
              <w:rPr>
                <w:rFonts w:ascii="Calibri" w:cs="Calibri" w:eastAsia="Calibri" w:hAnsi="Calibri"/>
                <w:b w:val="false"/>
                <w:bCs w:val="false"/>
                <w:sz w:val="19"/>
                <w:szCs w:val="19"/>
              </w:rPr>
              <w:t xml:space="preserve">GET/SET forecast:{provider}:{zip}</w:t>
            </w:r>
          </w:p>
        </w:tc>
        <w:tc>
          <w:tcPr>
            <w:tcW w:type="dxa" w:w="1760"/>
            <w:tcBorders>
              <w:top w:val="single" w:color="C9D0C4" w:sz="2"/>
              <w:left w:val="single" w:color="C9D0C4" w:sz="2"/>
              <w:bottom w:val="single" w:color="C9D0C4" w:sz="2"/>
              <w:right w:val="single" w:color="C9D0C4" w:sz="2"/>
            </w:tcBorders>
            <w:tcMar>
              <w:top w:type="dxa" w:w="100"/>
              <w:left w:type="dxa" w:w="120"/>
              <w:bottom w:type="dxa" w:w="100"/>
              <w:right w:type="dxa" w:w="120"/>
            </w:tcMar>
            <w:vAlign w:val="top"/>
          </w:tcPr>
          <w:p>
            <w:r>
              <w:rPr>
                <w:rFonts w:ascii="Calibri" w:cs="Calibri" w:eastAsia="Calibri" w:hAnsi="Calibri"/>
                <w:b w:val="false"/>
                <w:bCs w:val="false"/>
                <w:sz w:val="19"/>
                <w:szCs w:val="19"/>
              </w:rPr>
              <w:t xml:space="preserve">Every grid-provider call</w:t>
            </w:r>
          </w:p>
        </w:tc>
      </w:tr>
      <w:tr>
        <w:tc>
          <w:tcPr>
            <w:tcW w:type="dxa" w:w="2600"/>
            <w:tcBorders>
              <w:top w:val="single" w:color="C9D0C4" w:sz="2"/>
              <w:left w:val="single" w:color="C9D0C4" w:sz="2"/>
              <w:bottom w:val="single" w:color="C9D0C4" w:sz="2"/>
              <w:right w:val="single" w:color="C9D0C4" w:sz="2"/>
            </w:tcBorders>
            <w:tcMar>
              <w:top w:type="dxa" w:w="100"/>
              <w:left w:type="dxa" w:w="120"/>
              <w:bottom w:type="dxa" w:w="100"/>
              <w:right w:type="dxa" w:w="120"/>
            </w:tcMar>
            <w:vAlign w:val="top"/>
          </w:tcPr>
          <w:p>
            <w:r>
              <w:rPr>
                <w:rFonts w:ascii="Consolas" w:cs="Consolas" w:eastAsia="Consolas" w:hAnsi="Consolas"/>
                <w:b/>
                <w:bCs/>
                <w:sz w:val="19"/>
                <w:szCs w:val="19"/>
              </w:rPr>
              <w:t xml:space="preserve">HTTP server → Client</w:t>
            </w:r>
          </w:p>
        </w:tc>
        <w:tc>
          <w:tcPr>
            <w:tcW w:type="dxa" w:w="2400"/>
            <w:tcBorders>
              <w:top w:val="single" w:color="C9D0C4" w:sz="2"/>
              <w:left w:val="single" w:color="C9D0C4" w:sz="2"/>
              <w:bottom w:val="single" w:color="C9D0C4" w:sz="2"/>
              <w:right w:val="single" w:color="C9D0C4" w:sz="2"/>
            </w:tcBorders>
            <w:tcMar>
              <w:top w:type="dxa" w:w="100"/>
              <w:left w:type="dxa" w:w="120"/>
              <w:bottom w:type="dxa" w:w="100"/>
              <w:right w:type="dxa" w:w="120"/>
            </w:tcMar>
            <w:vAlign w:val="top"/>
          </w:tcPr>
          <w:p>
            <w:r>
              <w:rPr>
                <w:rFonts w:ascii="Calibri" w:cs="Calibri" w:eastAsia="Calibri" w:hAnsi="Calibri"/>
                <w:b w:val="false"/>
                <w:bCs w:val="false"/>
                <w:sz w:val="19"/>
                <w:szCs w:val="19"/>
              </w:rPr>
              <w:t xml:space="preserve">HTTP/JSON response</w:t>
            </w:r>
          </w:p>
        </w:tc>
        <w:tc>
          <w:tcPr>
            <w:tcW w:type="dxa" w:w="2600"/>
            <w:tcBorders>
              <w:top w:val="single" w:color="C9D0C4" w:sz="2"/>
              <w:left w:val="single" w:color="C9D0C4" w:sz="2"/>
              <w:bottom w:val="single" w:color="C9D0C4" w:sz="2"/>
              <w:right w:val="single" w:color="C9D0C4" w:sz="2"/>
            </w:tcBorders>
            <w:tcMar>
              <w:top w:type="dxa" w:w="100"/>
              <w:left w:type="dxa" w:w="120"/>
              <w:bottom w:type="dxa" w:w="100"/>
              <w:right w:type="dxa" w:w="120"/>
            </w:tcMar>
            <w:vAlign w:val="top"/>
          </w:tcPr>
          <w:p>
            <w:r>
              <w:rPr>
                <w:rFonts w:ascii="Calibri" w:cs="Calibri" w:eastAsia="Calibri" w:hAnsi="Calibri"/>
                <w:b w:val="false"/>
                <w:bCs w:val="false"/>
                <w:sz w:val="19"/>
                <w:szCs w:val="19"/>
              </w:rPr>
              <w:t xml:space="preserve">OptimalWindow, ScheduledRun, or error body</w:t>
            </w:r>
          </w:p>
        </w:tc>
        <w:tc>
          <w:tcPr>
            <w:tcW w:type="dxa" w:w="1760"/>
            <w:tcBorders>
              <w:top w:val="single" w:color="C9D0C4" w:sz="2"/>
              <w:left w:val="single" w:color="C9D0C4" w:sz="2"/>
              <w:bottom w:val="single" w:color="C9D0C4" w:sz="2"/>
              <w:right w:val="single" w:color="C9D0C4" w:sz="2"/>
            </w:tcBorders>
            <w:tcMar>
              <w:top w:type="dxa" w:w="100"/>
              <w:left w:type="dxa" w:w="120"/>
              <w:bottom w:type="dxa" w:w="100"/>
              <w:right w:type="dxa" w:w="120"/>
            </w:tcMar>
            <w:vAlign w:val="top"/>
          </w:tcPr>
          <w:p>
            <w:r>
              <w:rPr>
                <w:rFonts w:ascii="Calibri" w:cs="Calibri" w:eastAsia="Calibri" w:hAnsi="Calibri"/>
                <w:b w:val="false"/>
                <w:bCs w:val="false"/>
                <w:sz w:val="19"/>
                <w:szCs w:val="19"/>
              </w:rPr>
              <w:t xml:space="preserve">Response to every request</w:t>
            </w:r>
          </w:p>
        </w:tc>
      </w:tr>
      <w:tr>
        <w:tc>
          <w:tcPr>
            <w:tcW w:type="dxa" w:w="2600"/>
            <w:tcBorders>
              <w:top w:val="single" w:color="C9D0C4" w:sz="2"/>
              <w:left w:val="single" w:color="C9D0C4" w:sz="2"/>
              <w:bottom w:val="single" w:color="C9D0C4" w:sz="2"/>
              <w:right w:val="single" w:color="C9D0C4" w:sz="2"/>
            </w:tcBorders>
            <w:tcMar>
              <w:top w:type="dxa" w:w="100"/>
              <w:left w:type="dxa" w:w="120"/>
              <w:bottom w:type="dxa" w:w="100"/>
              <w:right w:type="dxa" w:w="120"/>
            </w:tcMar>
            <w:vAlign w:val="top"/>
          </w:tcPr>
          <w:p>
            <w:r>
              <w:rPr>
                <w:rFonts w:ascii="Consolas" w:cs="Consolas" w:eastAsia="Consolas" w:hAnsi="Consolas"/>
                <w:b/>
                <w:bCs/>
                <w:sz w:val="19"/>
                <w:szCs w:val="19"/>
              </w:rPr>
              <w:t xml:space="preserve">Scheduler ↔ Postgres</w:t>
            </w:r>
          </w:p>
        </w:tc>
        <w:tc>
          <w:tcPr>
            <w:tcW w:type="dxa" w:w="2400"/>
            <w:tcBorders>
              <w:top w:val="single" w:color="C9D0C4" w:sz="2"/>
              <w:left w:val="single" w:color="C9D0C4" w:sz="2"/>
              <w:bottom w:val="single" w:color="C9D0C4" w:sz="2"/>
              <w:right w:val="single" w:color="C9D0C4" w:sz="2"/>
            </w:tcBorders>
            <w:tcMar>
              <w:top w:type="dxa" w:w="100"/>
              <w:left w:type="dxa" w:w="120"/>
              <w:bottom w:type="dxa" w:w="100"/>
              <w:right w:type="dxa" w:w="120"/>
            </w:tcMar>
            <w:vAlign w:val="top"/>
          </w:tcPr>
          <w:p>
            <w:r>
              <w:rPr>
                <w:rFonts w:ascii="Calibri" w:cs="Calibri" w:eastAsia="Calibri" w:hAnsi="Calibri"/>
                <w:b w:val="false"/>
                <w:bCs w:val="false"/>
                <w:sz w:val="19"/>
                <w:szCs w:val="19"/>
              </w:rPr>
              <w:t xml:space="preserve">SQL over TCP</w:t>
            </w:r>
          </w:p>
        </w:tc>
        <w:tc>
          <w:tcPr>
            <w:tcW w:type="dxa" w:w="2600"/>
            <w:tcBorders>
              <w:top w:val="single" w:color="C9D0C4" w:sz="2"/>
              <w:left w:val="single" w:color="C9D0C4" w:sz="2"/>
              <w:bottom w:val="single" w:color="C9D0C4" w:sz="2"/>
              <w:right w:val="single" w:color="C9D0C4" w:sz="2"/>
            </w:tcBorders>
            <w:tcMar>
              <w:top w:type="dxa" w:w="100"/>
              <w:left w:type="dxa" w:w="120"/>
              <w:bottom w:type="dxa" w:w="100"/>
              <w:right w:type="dxa" w:w="120"/>
            </w:tcMar>
            <w:vAlign w:val="top"/>
          </w:tcPr>
          <w:p>
            <w:r>
              <w:rPr>
                <w:rFonts w:ascii="Calibri" w:cs="Calibri" w:eastAsia="Calibri" w:hAnsi="Calibri"/>
                <w:b w:val="false"/>
                <w:bCs w:val="false"/>
                <w:sz w:val="19"/>
                <w:szCs w:val="19"/>
              </w:rPr>
              <w:t xml:space="preserve">SELECT due rows, atomic UPDATE…RETURNING claim, INSERT notifications</w:t>
            </w:r>
          </w:p>
        </w:tc>
        <w:tc>
          <w:tcPr>
            <w:tcW w:type="dxa" w:w="1760"/>
            <w:tcBorders>
              <w:top w:val="single" w:color="C9D0C4" w:sz="2"/>
              <w:left w:val="single" w:color="C9D0C4" w:sz="2"/>
              <w:bottom w:val="single" w:color="C9D0C4" w:sz="2"/>
              <w:right w:val="single" w:color="C9D0C4" w:sz="2"/>
            </w:tcBorders>
            <w:tcMar>
              <w:top w:type="dxa" w:w="100"/>
              <w:left w:type="dxa" w:w="120"/>
              <w:bottom w:type="dxa" w:w="100"/>
              <w:right w:type="dxa" w:w="120"/>
            </w:tcMar>
            <w:vAlign w:val="top"/>
          </w:tcPr>
          <w:p>
            <w:r>
              <w:rPr>
                <w:rFonts w:ascii="Calibri" w:cs="Calibri" w:eastAsia="Calibri" w:hAnsi="Calibri"/>
                <w:b w:val="false"/>
                <w:bCs w:val="false"/>
                <w:sz w:val="19"/>
                <w:szCs w:val="19"/>
              </w:rPr>
              <w:t xml:space="preserve">Every 15s tick + once on startup</w:t>
            </w:r>
          </w:p>
        </w:tc>
      </w:tr>
      <w:tr>
        <w:tc>
          <w:tcPr>
            <w:tcW w:type="dxa" w:w="2600"/>
            <w:tcBorders>
              <w:top w:val="single" w:color="C9D0C4" w:sz="2"/>
              <w:left w:val="single" w:color="C9D0C4" w:sz="2"/>
              <w:bottom w:val="single" w:color="C9D0C4" w:sz="2"/>
              <w:right w:val="single" w:color="C9D0C4" w:sz="2"/>
            </w:tcBorders>
            <w:tcMar>
              <w:top w:type="dxa" w:w="100"/>
              <w:left w:type="dxa" w:w="120"/>
              <w:bottom w:type="dxa" w:w="100"/>
              <w:right w:type="dxa" w:w="120"/>
            </w:tcMar>
            <w:vAlign w:val="top"/>
          </w:tcPr>
          <w:p>
            <w:r>
              <w:rPr>
                <w:rFonts w:ascii="Consolas" w:cs="Consolas" w:eastAsia="Consolas" w:hAnsi="Consolas"/>
                <w:b/>
                <w:bCs/>
                <w:sz w:val="19"/>
                <w:szCs w:val="19"/>
              </w:rPr>
              <w:t xml:space="preserve">Scheduler → Webhook target</w:t>
            </w:r>
          </w:p>
        </w:tc>
        <w:tc>
          <w:tcPr>
            <w:tcW w:type="dxa" w:w="2400"/>
            <w:tcBorders>
              <w:top w:val="single" w:color="C9D0C4" w:sz="2"/>
              <w:left w:val="single" w:color="C9D0C4" w:sz="2"/>
              <w:bottom w:val="single" w:color="C9D0C4" w:sz="2"/>
              <w:right w:val="single" w:color="C9D0C4" w:sz="2"/>
            </w:tcBorders>
            <w:tcMar>
              <w:top w:type="dxa" w:w="100"/>
              <w:left w:type="dxa" w:w="120"/>
              <w:bottom w:type="dxa" w:w="100"/>
              <w:right w:type="dxa" w:w="120"/>
            </w:tcMar>
            <w:vAlign w:val="top"/>
          </w:tcPr>
          <w:p>
            <w:r>
              <w:rPr>
                <w:rFonts w:ascii="Calibri" w:cs="Calibri" w:eastAsia="Calibri" w:hAnsi="Calibri"/>
                <w:b w:val="false"/>
                <w:bCs w:val="false"/>
                <w:sz w:val="19"/>
                <w:szCs w:val="19"/>
              </w:rPr>
              <w:t xml:space="preserve">HTTP POST/JSON</w:t>
            </w:r>
          </w:p>
        </w:tc>
        <w:tc>
          <w:tcPr>
            <w:tcW w:type="dxa" w:w="2600"/>
            <w:tcBorders>
              <w:top w:val="single" w:color="C9D0C4" w:sz="2"/>
              <w:left w:val="single" w:color="C9D0C4" w:sz="2"/>
              <w:bottom w:val="single" w:color="C9D0C4" w:sz="2"/>
              <w:right w:val="single" w:color="C9D0C4" w:sz="2"/>
            </w:tcBorders>
            <w:tcMar>
              <w:top w:type="dxa" w:w="100"/>
              <w:left w:type="dxa" w:w="120"/>
              <w:bottom w:type="dxa" w:w="100"/>
              <w:right w:type="dxa" w:w="120"/>
            </w:tcMar>
            <w:vAlign w:val="top"/>
          </w:tcPr>
          <w:p>
            <w:r>
              <w:rPr>
                <w:rFonts w:ascii="Calibri" w:cs="Calibri" w:eastAsia="Calibri" w:hAnsi="Calibri"/>
                <w:b w:val="false"/>
                <w:bCs w:val="false"/>
                <w:sz w:val="19"/>
                <w:szCs w:val="19"/>
              </w:rPr>
              <w:t xml:space="preserve">scheduledRunId, applianceName, zip, startTime, endTime, firedLate</w:t>
            </w:r>
          </w:p>
        </w:tc>
        <w:tc>
          <w:tcPr>
            <w:tcW w:type="dxa" w:w="1760"/>
            <w:tcBorders>
              <w:top w:val="single" w:color="C9D0C4" w:sz="2"/>
              <w:left w:val="single" w:color="C9D0C4" w:sz="2"/>
              <w:bottom w:val="single" w:color="C9D0C4" w:sz="2"/>
              <w:right w:val="single" w:color="C9D0C4" w:sz="2"/>
            </w:tcBorders>
            <w:tcMar>
              <w:top w:type="dxa" w:w="100"/>
              <w:left w:type="dxa" w:w="120"/>
              <w:bottom w:type="dxa" w:w="100"/>
              <w:right w:type="dxa" w:w="120"/>
            </w:tcMar>
            <w:vAlign w:val="top"/>
          </w:tcPr>
          <w:p>
            <w:r>
              <w:rPr>
                <w:rFonts w:ascii="Calibri" w:cs="Calibri" w:eastAsia="Calibri" w:hAnsi="Calibri"/>
                <w:b w:val="false"/>
                <w:bCs w:val="false"/>
                <w:sz w:val="19"/>
                <w:szCs w:val="19"/>
              </w:rPr>
              <w:t xml:space="preserve">The instant a claim succeeds</w:t>
            </w:r>
          </w:p>
        </w:tc>
      </w:tr>
      <w:tr>
        <w:tc>
          <w:tcPr>
            <w:tcW w:type="dxa" w:w="2600"/>
            <w:tcBorders>
              <w:top w:val="single" w:color="C9D0C4" w:sz="2"/>
              <w:left w:val="single" w:color="C9D0C4" w:sz="2"/>
              <w:bottom w:val="single" w:color="C9D0C4" w:sz="2"/>
              <w:right w:val="single" w:color="C9D0C4" w:sz="2"/>
            </w:tcBorders>
            <w:tcMar>
              <w:top w:type="dxa" w:w="100"/>
              <w:left w:type="dxa" w:w="120"/>
              <w:bottom w:type="dxa" w:w="100"/>
              <w:right w:type="dxa" w:w="120"/>
            </w:tcMar>
            <w:vAlign w:val="top"/>
          </w:tcPr>
          <w:p>
            <w:r>
              <w:rPr>
                <w:rFonts w:ascii="Consolas" w:cs="Consolas" w:eastAsia="Consolas" w:hAnsi="Consolas"/>
                <w:b/>
                <w:bCs/>
                <w:sz w:val="19"/>
                <w:szCs w:val="19"/>
              </w:rPr>
              <w:t xml:space="preserve">Electricity Maps / WattTime → HTTP server</w:t>
            </w:r>
          </w:p>
        </w:tc>
        <w:tc>
          <w:tcPr>
            <w:tcW w:type="dxa" w:w="2400"/>
            <w:tcBorders>
              <w:top w:val="single" w:color="C9D0C4" w:sz="2"/>
              <w:left w:val="single" w:color="C9D0C4" w:sz="2"/>
              <w:bottom w:val="single" w:color="C9D0C4" w:sz="2"/>
              <w:right w:val="single" w:color="C9D0C4" w:sz="2"/>
            </w:tcBorders>
            <w:tcMar>
              <w:top w:type="dxa" w:w="100"/>
              <w:left w:type="dxa" w:w="120"/>
              <w:bottom w:type="dxa" w:w="100"/>
              <w:right w:type="dxa" w:w="120"/>
            </w:tcMar>
            <w:vAlign w:val="top"/>
          </w:tcPr>
          <w:p>
            <w:r>
              <w:rPr>
                <w:rFonts w:ascii="Calibri" w:cs="Calibri" w:eastAsia="Calibri" w:hAnsi="Calibri"/>
                <w:b w:val="false"/>
                <w:bCs w:val="false"/>
                <w:sz w:val="19"/>
                <w:szCs w:val="19"/>
              </w:rPr>
              <w:t xml:space="preserve">HTTPS response</w:t>
            </w:r>
          </w:p>
        </w:tc>
        <w:tc>
          <w:tcPr>
            <w:tcW w:type="dxa" w:w="2600"/>
            <w:tcBorders>
              <w:top w:val="single" w:color="C9D0C4" w:sz="2"/>
              <w:left w:val="single" w:color="C9D0C4" w:sz="2"/>
              <w:bottom w:val="single" w:color="C9D0C4" w:sz="2"/>
              <w:right w:val="single" w:color="C9D0C4" w:sz="2"/>
            </w:tcBorders>
            <w:tcMar>
              <w:top w:type="dxa" w:w="100"/>
              <w:left w:type="dxa" w:w="120"/>
              <w:bottom w:type="dxa" w:w="100"/>
              <w:right w:type="dxa" w:w="120"/>
            </w:tcMar>
            <w:vAlign w:val="top"/>
          </w:tcPr>
          <w:p>
            <w:r>
              <w:rPr>
                <w:rFonts w:ascii="Calibri" w:cs="Calibri" w:eastAsia="Calibri" w:hAnsi="Calibri"/>
                <w:b w:val="false"/>
                <w:bCs w:val="false"/>
                <w:sz w:val="19"/>
                <w:szCs w:val="19"/>
              </w:rPr>
              <w:t xml:space="preserve">Provider-specific forecast JSON</w:t>
            </w:r>
          </w:p>
        </w:tc>
        <w:tc>
          <w:tcPr>
            <w:tcW w:type="dxa" w:w="1760"/>
            <w:tcBorders>
              <w:top w:val="single" w:color="C9D0C4" w:sz="2"/>
              <w:left w:val="single" w:color="C9D0C4" w:sz="2"/>
              <w:bottom w:val="single" w:color="C9D0C4" w:sz="2"/>
              <w:right w:val="single" w:color="C9D0C4" w:sz="2"/>
            </w:tcBorders>
            <w:tcMar>
              <w:top w:type="dxa" w:w="100"/>
              <w:left w:type="dxa" w:w="120"/>
              <w:bottom w:type="dxa" w:w="100"/>
              <w:right w:type="dxa" w:w="120"/>
            </w:tcMar>
            <w:vAlign w:val="top"/>
          </w:tcPr>
          <w:p>
            <w:r>
              <w:rPr>
                <w:rFonts w:ascii="Calibri" w:cs="Calibri" w:eastAsia="Calibri" w:hAnsi="Calibri"/>
                <w:b w:val="false"/>
                <w:bCs w:val="false"/>
                <w:sz w:val="19"/>
                <w:szCs w:val="19"/>
              </w:rPr>
              <w:t xml:space="preserve">Reply to outbound call, if credentials are set</w:t>
            </w:r>
          </w:p>
        </w:tc>
      </w:tr>
      <w:tr>
        <w:tc>
          <w:tcPr>
            <w:tcW w:type="dxa" w:w="2600"/>
            <w:tcBorders>
              <w:top w:val="single" w:color="C9D0C4" w:sz="2"/>
              <w:left w:val="single" w:color="C9D0C4" w:sz="2"/>
              <w:bottom w:val="single" w:color="C9D0C4" w:sz="2"/>
              <w:right w:val="single" w:color="C9D0C4" w:sz="2"/>
            </w:tcBorders>
            <w:tcMar>
              <w:top w:type="dxa" w:w="100"/>
              <w:left w:type="dxa" w:w="120"/>
              <w:bottom w:type="dxa" w:w="100"/>
              <w:right w:type="dxa" w:w="120"/>
            </w:tcMar>
            <w:vAlign w:val="top"/>
          </w:tcPr>
          <w:p>
            <w:r>
              <w:rPr>
                <w:rFonts w:ascii="Consolas" w:cs="Consolas" w:eastAsia="Consolas" w:hAnsi="Consolas"/>
                <w:b/>
                <w:bCs/>
                <w:sz w:val="19"/>
                <w:szCs w:val="19"/>
              </w:rPr>
              <w:t xml:space="preserve">Adminer → Postgres</w:t>
            </w:r>
          </w:p>
        </w:tc>
        <w:tc>
          <w:tcPr>
            <w:tcW w:type="dxa" w:w="2400"/>
            <w:tcBorders>
              <w:top w:val="single" w:color="C9D0C4" w:sz="2"/>
              <w:left w:val="single" w:color="C9D0C4" w:sz="2"/>
              <w:bottom w:val="single" w:color="C9D0C4" w:sz="2"/>
              <w:right w:val="single" w:color="C9D0C4" w:sz="2"/>
            </w:tcBorders>
            <w:tcMar>
              <w:top w:type="dxa" w:w="100"/>
              <w:left w:type="dxa" w:w="120"/>
              <w:bottom w:type="dxa" w:w="100"/>
              <w:right w:type="dxa" w:w="120"/>
            </w:tcMar>
            <w:vAlign w:val="top"/>
          </w:tcPr>
          <w:p>
            <w:r>
              <w:rPr>
                <w:rFonts w:ascii="Calibri" w:cs="Calibri" w:eastAsia="Calibri" w:hAnsi="Calibri"/>
                <w:b w:val="false"/>
                <w:bCs w:val="false"/>
                <w:sz w:val="19"/>
                <w:szCs w:val="19"/>
              </w:rPr>
              <w:t xml:space="preserve">SQL over TCP</w:t>
            </w:r>
          </w:p>
        </w:tc>
        <w:tc>
          <w:tcPr>
            <w:tcW w:type="dxa" w:w="2600"/>
            <w:tcBorders>
              <w:top w:val="single" w:color="C9D0C4" w:sz="2"/>
              <w:left w:val="single" w:color="C9D0C4" w:sz="2"/>
              <w:bottom w:val="single" w:color="C9D0C4" w:sz="2"/>
              <w:right w:val="single" w:color="C9D0C4" w:sz="2"/>
            </w:tcBorders>
            <w:tcMar>
              <w:top w:type="dxa" w:w="100"/>
              <w:left w:type="dxa" w:w="120"/>
              <w:bottom w:type="dxa" w:w="100"/>
              <w:right w:type="dxa" w:w="120"/>
            </w:tcMar>
            <w:vAlign w:val="top"/>
          </w:tcPr>
          <w:p>
            <w:r>
              <w:rPr>
                <w:rFonts w:ascii="Calibri" w:cs="Calibri" w:eastAsia="Calibri" w:hAnsi="Calibri"/>
                <w:b w:val="false"/>
                <w:bCs w:val="false"/>
                <w:sz w:val="19"/>
                <w:szCs w:val="19"/>
              </w:rPr>
              <w:t xml:space="preserve">Whatever query is run in its UI</w:t>
            </w:r>
          </w:p>
        </w:tc>
        <w:tc>
          <w:tcPr>
            <w:tcW w:type="dxa" w:w="1760"/>
            <w:tcBorders>
              <w:top w:val="single" w:color="C9D0C4" w:sz="2"/>
              <w:left w:val="single" w:color="C9D0C4" w:sz="2"/>
              <w:bottom w:val="single" w:color="C9D0C4" w:sz="2"/>
              <w:right w:val="single" w:color="C9D0C4" w:sz="2"/>
            </w:tcBorders>
            <w:tcMar>
              <w:top w:type="dxa" w:w="100"/>
              <w:left w:type="dxa" w:w="120"/>
              <w:bottom w:type="dxa" w:w="100"/>
              <w:right w:type="dxa" w:w="120"/>
            </w:tcMar>
            <w:vAlign w:val="top"/>
          </w:tcPr>
          <w:p>
            <w:r>
              <w:rPr>
                <w:rFonts w:ascii="Calibri" w:cs="Calibri" w:eastAsia="Calibri" w:hAnsi="Calibri"/>
                <w:b w:val="false"/>
                <w:bCs w:val="false"/>
                <w:sz w:val="19"/>
                <w:szCs w:val="19"/>
              </w:rPr>
              <w:t xml:space="preserve">Manual browsing</w:t>
            </w:r>
          </w:p>
        </w:tc>
      </w:tr>
    </w:tbl>
    <w:p>
      <w:pPr>
        <w:pStyle w:val="Heading1"/>
        <w:spacing w:after="160" w:before="360"/>
      </w:pPr>
      <w:r>
        <w:t xml:space="preserve">4. Key architectural notes</w:t>
      </w:r>
    </w:p>
    <w:p>
      <w:pPr>
        <w:pBdr>
          <w:left w:val="single" w:color="0E8074" w:sz="18" w:space="8"/>
        </w:pBdr>
        <w:spacing w:after="60" w:before="200"/>
        <w:ind w:left="120"/>
      </w:pPr>
      <w:r>
        <w:rPr>
          <w:b/>
          <w:bCs/>
          <w:color w:val="0A5A52"/>
          <w:sz w:val="21"/>
          <w:szCs w:val="21"/>
        </w:rPr>
        <w:t xml:space="preserve">The HTTP server and the scheduler never call each other directly</w:t>
      </w:r>
    </w:p>
    <w:p>
      <w:pPr>
        <w:pBdr>
          <w:left w:val="single" w:color="0E8074" w:sz="18" w:space="8"/>
        </w:pBdr>
        <w:spacing w:after="220"/>
        <w:ind w:left="120"/>
      </w:pPr>
      <w:r>
        <w:rPr>
          <w:sz w:val="20"/>
          <w:szCs w:val="20"/>
        </w:rPr>
        <w:t xml:space="preserve">They are two goroutines in the same process that only ever meet through Postgres. The HTTP server writes a scheduled_run row via POST /schedules; the scheduler discovers it later purely by polling the table. Neither holds a reference to the other. This is why the scheduler survives an app restart cleanly — it has no in-memory link to the request that created the job, only the database row.</w:t>
      </w:r>
    </w:p>
    <w:p>
      <w:pPr>
        <w:pBdr>
          <w:left w:val="single" w:color="0E8074" w:sz="18" w:space="8"/>
        </w:pBdr>
        <w:spacing w:after="60" w:before="200"/>
        <w:ind w:left="120"/>
      </w:pPr>
      <w:r>
        <w:rPr>
          <w:b/>
          <w:bCs/>
          <w:color w:val="0A5A52"/>
          <w:sz w:val="21"/>
          <w:szCs w:val="21"/>
        </w:rPr>
        <w:t xml:space="preserve">Grid providers are reached through two layers of wrapping</w:t>
      </w:r>
    </w:p>
    <w:p>
      <w:pPr>
        <w:pBdr>
          <w:left w:val="single" w:color="0E8074" w:sz="18" w:space="8"/>
        </w:pBdr>
        <w:spacing w:after="220"/>
        <w:ind w:left="120"/>
      </w:pPr>
      <w:r>
        <w:rPr>
          <w:sz w:val="20"/>
          <w:szCs w:val="20"/>
        </w:rPr>
        <w:t xml:space="preserve">The path is: HTTP server → RaceProviders (fans out to every configured provider concurrently) → each provider wrapped Cached(RateLimited(provider)). A cache hit short-circuits before the rate limiter or the network call ever run — so Redis is consulted on every request, but the real provider (Electricity Maps / WattTime) is only actually called on a genuine cache miss.</w:t>
      </w:r>
    </w:p>
    <w:p>
      <w:pPr>
        <w:pBdr>
          <w:top w:val="single" w:color="C9D0C4" w:sz="4" w:space="8"/>
        </w:pBdr>
        <w:spacing w:before="400"/>
      </w:pPr>
      <w:r>
        <w:rPr>
          <w:color w:val="57655C"/>
          <w:sz w:val="16"/>
          <w:szCs w:val="16"/>
        </w:rPr>
        <w:t xml:space="preserve">GreenCycle — Go rewrite. Repository: github.com/Drashya9/GreenCycle-Carbon-Aware-Scheduling-API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d4306536c91b53bd22c16fb0a7cf30d31a12932.png"/><Relationship Id="rId8" Type="http://schemas.openxmlformats.org/officeDocument/2006/relationships/image" Target="media/5787c927b34f696aa9667a5d24672a34a55aff9e.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2026-08-28T02:42:08.963Z</dcterms:created>
  <dcterms:modified xsi:type="dcterms:W3CDTF">2026-08-28T02:42:09.010Z</dcterms:modified>
</cp:coreProperties>
</file>

<file path=docProps/custom.xml><?xml version="1.0" encoding="utf-8"?>
<Properties xmlns="http://schemas.openxmlformats.org/officeDocument/2006/custom-properties" xmlns:vt="http://schemas.openxmlformats.org/officeDocument/2006/docPropsVTypes"/>
</file>