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38F46">
      <w:pPr>
        <w:pStyle w:val="3"/>
      </w:pPr>
      <w:r>
        <w:t>第五次实验：全球高校学科数据分析与建模</w:t>
      </w:r>
    </w:p>
    <w:p w14:paraId="3C79025F">
      <w:pPr>
        <w:pStyle w:val="4"/>
      </w:pPr>
      <w:r>
        <w:t>一、实验目的</w:t>
      </w:r>
    </w:p>
    <w:p w14:paraId="1B2688CD">
      <w:r>
        <w:t>本实验旨在通过对全球高校 ESI 学科排名数据的综合分析，探索高校的学科分布特征、聚类规律以及华东师范大学（ECNU）的学科画像，并基于机器学习模型实现学科排名预测。</w:t>
      </w:r>
    </w:p>
    <w:p w14:paraId="6D56C4AC">
      <w:pPr>
        <w:pStyle w:val="4"/>
      </w:pPr>
      <w:r>
        <w:t>二、数据来源与预处理</w:t>
      </w:r>
    </w:p>
    <w:p w14:paraId="29FFAC99">
      <w:r>
        <w:t>数据来自 Clarivate ESI（Essential Science Indicators）数据库，各学科 CSV 文件包含：学校名称、国家/地区、Web of Science 论文数（Docs）、被引次数（Cites）、平均被引（Cites/Paper）、高被引论文数（Top Papers）。</w:t>
      </w:r>
    </w:p>
    <w:p w14:paraId="0780C283">
      <w:r>
        <w:t>使用 merge_subjects.py 对所有学科文件进行合并，跳过首行说明，统一重命名为标准字段：['univ', 'country', 'docs', 'cites', 'cpp', 'top_papers', 'subject']。</w:t>
      </w:r>
    </w:p>
    <w:p w14:paraId="147AFF2C">
      <w:r>
        <w:t>合并后共生成 outputs/esi_all.csv，包含全球多学科共 34,000+ 条数据。</w:t>
      </w:r>
    </w:p>
    <w:p w14:paraId="1733C04B">
      <w:pPr>
        <w:pStyle w:val="4"/>
      </w:pPr>
      <w:r>
        <w:t>三、问题 8：全球高校聚类分析</w:t>
      </w:r>
    </w:p>
    <w:p w14:paraId="6324BA9D">
      <w:r>
        <w:t>根据各高校在不同学科的论文数、被引数、平均被引及高被引论文比例，使用 KMeans 聚类方法对高校进行聚类。</w:t>
      </w:r>
    </w:p>
    <w:p w14:paraId="0C81D6A0">
      <w:r>
        <w:t>系统自动选择最佳聚类数 k=4（轮廓系数 0.856），说明高校总体可划分为四类：</w:t>
      </w:r>
      <w:r>
        <w:br w:type="textWrapping"/>
      </w:r>
      <w:r>
        <w:t>① 顶尖科研型大学（Type-0）：论文数与被引数均居全球前列，如哈佛大学、中国科学院；</w:t>
      </w:r>
      <w:r>
        <w:br w:type="textWrapping"/>
      </w:r>
      <w:r>
        <w:t>② 高影响研究型大学（Type-1）：高被引比例高，代表如斯坦福大学、牛津大学；</w:t>
      </w:r>
      <w:r>
        <w:br w:type="textWrapping"/>
      </w:r>
      <w:r>
        <w:t>③ 区域研究型大学（Type-2）：学科数量较全但总体引用较低，如东南大学、复旦大学；</w:t>
      </w:r>
      <w:r>
        <w:br w:type="textWrapping"/>
      </w:r>
      <w:r>
        <w:t>④ 专业性高校（Type-3）：集中于少数学科，代表如农业、地学类院校。</w:t>
      </w:r>
    </w:p>
    <w:p w14:paraId="3673EC41">
      <w:r>
        <w:drawing>
          <wp:inline distT="0" distB="0" distL="114300" distR="114300">
            <wp:extent cx="5480050" cy="1595755"/>
            <wp:effectExtent l="0" t="0" r="635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EA32">
      <w:r>
        <w:t>通过计算 ECNU 与各校的余弦相似度发现，华东师范大学最接近 Type-2 类（区域研究型高校），与中山大学、华中师范大学的学科分布相似。</w:t>
      </w:r>
      <w:r>
        <w:drawing>
          <wp:inline distT="0" distB="0" distL="114300" distR="114300">
            <wp:extent cx="5477510" cy="3633470"/>
            <wp:effectExtent l="0" t="0" r="8890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66D4">
      <w:pPr>
        <w:pStyle w:val="4"/>
      </w:pPr>
      <w:r>
        <w:t>四、问题 9：华东师范大学学科画像</w:t>
      </w:r>
    </w:p>
    <w:p w14:paraId="18C305E8">
      <w:r>
        <w:t>通过 ecnu_profile_by_subject.csv、ecnu_strength_subjects.csv、ecnu_weak_subjects.csv，从多个维度构建华东师范大学的学科画像。</w:t>
      </w:r>
      <w:r>
        <w:drawing>
          <wp:inline distT="0" distB="0" distL="114300" distR="114300">
            <wp:extent cx="5484495" cy="1826260"/>
            <wp:effectExtent l="0" t="0" r="1905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2298">
      <w:r>
        <w:t>优势学科（Top Strengths）：数学、地球科学、教育学、环境/生态学，在全球同类学科中处于领先地位。</w:t>
      </w:r>
      <w:r>
        <w:drawing>
          <wp:inline distT="0" distB="0" distL="114300" distR="114300">
            <wp:extent cx="5485765" cy="805180"/>
            <wp:effectExtent l="0" t="0" r="635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弱势学科（Weak Subjects）：工程学、计算机科学、临床医学，引用率与高被引论文比例较低。</w:t>
      </w:r>
      <w:r>
        <w:drawing>
          <wp:inline distT="0" distB="0" distL="114300" distR="114300">
            <wp:extent cx="5469890" cy="892810"/>
            <wp:effectExtent l="0" t="0" r="6985" b="254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ADAA">
      <w:r>
        <w:t>各学科的综合得分通过世界均值标准化（Z-Score）与中国中位数对比（RSI）计算，体现 ECNU 在基础科学领域具有稳定优势，在应用科学领域仍有提升空间。</w:t>
      </w:r>
    </w:p>
    <w:p w14:paraId="2F10BE59">
      <w:pPr>
        <w:pStyle w:val="4"/>
      </w:pPr>
      <w:r>
        <w:t>五、问题 10：学科排名预测模型</w:t>
      </w:r>
    </w:p>
    <w:p w14:paraId="7A67A52A">
      <w:r>
        <w:t>基于 RandomForestRegressor 随机森林模型构建学科排名预测系统。</w:t>
      </w:r>
    </w:p>
    <w:p w14:paraId="0DB6BC96">
      <w:r>
        <w:t>特征选取：log(论文数)、log(被引数)、平均被引（CPP）、高被引论文数、Top论文比。</w:t>
      </w:r>
      <w:r>
        <w:br w:type="textWrapping"/>
      </w:r>
      <w:r>
        <w:t>样本划分：60%训练、20%验证、20%测试。</w:t>
      </w:r>
      <w:r>
        <w:br w:type="textWrapping"/>
      </w:r>
      <w:r>
        <w:t>评价指标：MAE、RMSE、Spearman 相关系数。</w:t>
      </w:r>
    </w:p>
    <w:p w14:paraId="4E51AC0A">
      <w:r>
        <w:t>结果：</w:t>
      </w:r>
      <w:r>
        <w:br w:type="textWrapping"/>
      </w:r>
      <w:r>
        <w:t>验证集  MAE=0.045  RMSE=0.066  Spearman=0.842</w:t>
      </w:r>
      <w:r>
        <w:br w:type="textWrapping"/>
      </w:r>
      <w:r>
        <w:t>测试集  MAE=0.046  RMSE=0.068  Spearman=0.837</w:t>
      </w:r>
      <w:r>
        <w:br w:type="textWrapping"/>
      </w:r>
      <w:r>
        <w:t>说明模型能较好预测高校在各学科的相对位置，预测稳定性高。</w:t>
      </w:r>
    </w:p>
    <w:p w14:paraId="715A6EAE">
      <w:r>
        <w:t>特征重要性排序：log_cites &gt; cpp &gt; top_papers &gt; log_docs &gt; top_ratio，表明被引次数与平均被引水平是影响学科排名的关键因素。</w:t>
      </w:r>
      <w:r>
        <w:drawing>
          <wp:inline distT="0" distB="0" distL="114300" distR="114300">
            <wp:extent cx="5477510" cy="5550535"/>
            <wp:effectExtent l="0" t="0" r="8890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55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91D3">
      <w:pPr>
        <w:pStyle w:val="4"/>
      </w:pPr>
      <w:r>
        <w:t>六、结论与思考</w:t>
      </w:r>
    </w:p>
    <w:p w14:paraId="3E65311F">
      <w:r>
        <w:t>本实验通过数据清洗、聚类分析、学校画像与机器学习预测四个步骤，系统性地揭示了全球高校学科发展的分布规律与特征。</w:t>
      </w:r>
    </w:p>
    <w:p w14:paraId="692CDF92">
      <w:r>
        <w:t>华东师范大学整体处于区域研究型高校水平，在数学、地学、教育等基础学科表现突出，但在工程与医学等应用学科仍存在提升空间。</w:t>
      </w:r>
    </w:p>
    <w:p w14:paraId="3C16048C">
      <w:r>
        <w:t>未来可结合时间序列数据进行趋势预测，或使用深度学习模型进一步提高预测精度。</w:t>
      </w:r>
    </w:p>
    <w:p w14:paraId="1780B448">
      <w:pPr>
        <w:pStyle w:val="4"/>
      </w:pPr>
      <w:r>
        <w:t>七、实验截图</w:t>
      </w:r>
    </w:p>
    <w:p w14:paraId="1C1897C6">
      <w:pPr>
        <w:rPr>
          <w:rFonts w:hint="eastAsia" w:eastAsia="宋体"/>
          <w:lang w:val="en-US" w:eastAsia="zh-CN"/>
        </w:rPr>
      </w:pPr>
      <w:r>
        <w:rPr>
          <w:rFonts w:hint="eastAsia"/>
        </w:rPr>
        <w:t>merge_subjects.py运行</w:t>
      </w:r>
      <w:r>
        <w:rPr>
          <w:rFonts w:hint="eastAsia" w:eastAsia="宋体"/>
          <w:lang w:val="en-US" w:eastAsia="zh-CN"/>
        </w:rPr>
        <w:t>截图</w:t>
      </w:r>
    </w:p>
    <w:p w14:paraId="54A6C904"/>
    <w:p w14:paraId="5DA17E3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0050" cy="2713990"/>
            <wp:effectExtent l="0" t="0" r="6350" b="635"/>
            <wp:docPr id="1" name="图片 1" descr="a59e3fbe5e0b590f8464ec4820b9d2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59e3fbe5e0b590f8464ec4820b9d24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05F0"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01_cluster_universities.py</w:t>
      </w:r>
      <w:r>
        <w:rPr>
          <w:rFonts w:hint="eastAsia" w:eastAsia="宋体"/>
          <w:lang w:eastAsia="zh-CN"/>
        </w:rPr>
        <w:t>运行</w:t>
      </w:r>
      <w:r>
        <w:rPr>
          <w:rFonts w:hint="eastAsia" w:eastAsia="宋体"/>
          <w:lang w:val="en-US" w:eastAsia="zh-CN"/>
        </w:rPr>
        <w:t>截图</w: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474335" cy="1052195"/>
            <wp:effectExtent l="0" t="0" r="2540" b="5080"/>
            <wp:docPr id="2" name="图片 2" descr="34d480af8da1bcd67f22bbf6c0015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d480af8da1bcd67f22bbf6c0015cc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62B7">
      <w:pPr>
        <w:rPr>
          <w:rFonts w:hint="eastAsia" w:ascii="Cambria" w:hAnsi="Cambria" w:eastAsia="宋体" w:cs="Cambr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02_profile_ecnu.py</w:t>
      </w:r>
      <w:r>
        <w:rPr>
          <w:rFonts w:hint="eastAsia" w:ascii="Cambria" w:hAnsi="Cambria" w:eastAsia="宋体" w:cs="Cambria"/>
          <w:sz w:val="22"/>
          <w:szCs w:val="22"/>
          <w:lang w:val="en-US" w:eastAsia="zh-CN"/>
        </w:rPr>
        <w:t>运行截图</w:t>
      </w:r>
      <w:r>
        <w:rPr>
          <w:rFonts w:hint="eastAsia" w:ascii="Cambria" w:hAnsi="Cambria" w:eastAsia="宋体" w:cs="Cambria"/>
          <w:lang w:val="en-US" w:eastAsia="zh-CN"/>
        </w:rPr>
        <w:drawing>
          <wp:inline distT="0" distB="0" distL="114300" distR="114300">
            <wp:extent cx="5484495" cy="438150"/>
            <wp:effectExtent l="0" t="0" r="1905" b="0"/>
            <wp:docPr id="3" name="图片 3" descr="1e58bbf9dd6725965acc4ab557969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e58bbf9dd6725965acc4ab5579692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1402">
      <w:pPr>
        <w:rPr>
          <w:rFonts w:hint="eastAsia" w:ascii="Cambria" w:hAnsi="Cambria" w:eastAsia="宋体" w:cs="Cambr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03_rank_model.py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运行截图</w:t>
      </w:r>
      <w:bookmarkStart w:id="0" w:name="_GoBack"/>
      <w:bookmarkEnd w:id="0"/>
      <w:r>
        <w:rPr>
          <w:rFonts w:hint="eastAsia" w:ascii="Cambria" w:hAnsi="Cambria" w:eastAsia="宋体" w:cs="Cambria"/>
          <w:lang w:val="en-US" w:eastAsia="zh-CN"/>
        </w:rPr>
        <w:drawing>
          <wp:inline distT="0" distB="0" distL="114300" distR="114300">
            <wp:extent cx="5476875" cy="1751330"/>
            <wp:effectExtent l="0" t="0" r="0" b="1270"/>
            <wp:docPr id="5" name="图片 5" descr="e6e044fc9ad08d7f08c3a81b00d1b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6e044fc9ad08d7f08c3a81b00d1b4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3A3"/>
    <w:rsid w:val="00AA1D8D"/>
    <w:rsid w:val="00B47730"/>
    <w:rsid w:val="00CB0664"/>
    <w:rsid w:val="00FC693F"/>
    <w:rsid w:val="18C4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1110</Words>
  <Characters>1566</Characters>
  <Lines>0</Lines>
  <Paragraphs>0</Paragraphs>
  <TotalTime>13</TotalTime>
  <ScaleCrop>false</ScaleCrop>
  <LinksUpToDate>false</LinksUpToDate>
  <CharactersWithSpaces>1632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Drawer</cp:lastModifiedBy>
  <dcterms:modified xsi:type="dcterms:W3CDTF">2025-10-20T11:34:01Z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eyJoZGlkIjoiMDljYzUzMWQ4OWI0YzBkYjYzMDRhZTY5ZjZkYmFmYTgiLCJ1c2VySWQiOiIxNjE5MDM0MzE4In0=</vt:lpwstr>
  </property>
  <property fmtid="{D5CDD505-2E9C-101B-9397-08002B2CF9AE}" pid="3" name="KSOProductBuildVer">
    <vt:lpwstr>2052-12.1.0.23125</vt:lpwstr>
  </property>
  <property fmtid="{D5CDD505-2E9C-101B-9397-08002B2CF9AE}" pid="4" name="ICV">
    <vt:lpwstr>0C0AC344789B48589D52DC363B978CF6_13</vt:lpwstr>
  </property>
</Properties>
</file>