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Georgia" w:cs="Georgia" w:eastAsia="Georgia" w:hAnsi="Georgia"/>
          <w:b/>
          <w:bCs/>
          <w:color w:val="1B3A4B"/>
          <w:sz w:val="44"/>
          <w:szCs w:val="44"/>
        </w:rPr>
        <w:t xml:space="preserve">BUSINESS REQUIREMENTS DOCUMENT</w:t>
      </w:r>
    </w:p>
    <w:p>
      <w:pPr>
        <w:spacing w:before="200"/>
        <w:jc w:val="center"/>
      </w:pPr>
      <w:r>
        <w:rPr>
          <w:rFonts w:ascii="Georgia" w:cs="Georgia" w:eastAsia="Georgia" w:hAnsi="Georgia"/>
          <w:b/>
          <w:bCs/>
          <w:color w:val="C9A227"/>
          <w:sz w:val="32"/>
          <w:szCs w:val="32"/>
        </w:rPr>
        <w:t xml:space="preserve">Platform Intelijen Hidrologi Terpadu WS Citanduy</w:t>
      </w:r>
    </w:p>
    <w:p>
      <w:pPr>
        <w:spacing w:before="100"/>
        <w:jc w:val="center"/>
      </w:pPr>
      <w:r>
        <w:rPr>
          <w:rFonts w:ascii="Calibri" w:cs="Calibri" w:eastAsia="Calibri" w:hAnsi="Calibri"/>
          <w:i/>
          <w:iCs/>
          <w:color w:val="5B5B5B"/>
          <w:sz w:val="24"/>
          <w:szCs w:val="24"/>
        </w:rPr>
        <w:t xml:space="preserve">Model Bisnis Subsidi Silang: Mitigasi Risiko Korporat untuk Ketahanan Masyarakat</w:t>
      </w:r>
    </w:p>
    <w:p>
      <w:pPr>
        <w:spacing w:before="1600"/>
      </w:pPr>
    </w:p>
    <w:p>
      <w:pPr>
        <w:jc w:val="center"/>
      </w:pPr>
      <w:r>
        <w:rPr>
          <w:rFonts w:ascii="Calibri" w:cs="Calibri" w:eastAsia="Calibri" w:hAnsi="Calibri"/>
          <w:color w:val="5B5B5B"/>
          <w:sz w:val="22"/>
          <w:szCs w:val="22"/>
        </w:rPr>
        <w:t xml:space="preserve">Versi 1.0  |  5 September 2026</w:t>
      </w:r>
    </w:p>
    <w:p>
      <w:pPr>
        <w:spacing w:before="80"/>
        <w:jc w:val="center"/>
      </w:pPr>
      <w:r>
        <w:rPr>
          <w:rFonts w:ascii="Calibri" w:cs="Calibri" w:eastAsia="Calibri" w:hAnsi="Calibri"/>
          <w:color w:val="5B5B5B"/>
          <w:sz w:val="22"/>
          <w:szCs w:val="22"/>
        </w:rPr>
        <w:t xml:space="preserve">Disusun oleh: Tim Strategi Bisnis &amp; Produk</w:t>
      </w:r>
    </w:p>
    <w:p>
      <w:pPr>
        <w:spacing w:before="80"/>
        <w:jc w:val="center"/>
      </w:pPr>
      <w:r>
        <w:rPr>
          <w:rFonts w:ascii="Calibri" w:cs="Calibri" w:eastAsia="Calibri" w:hAnsi="Calibri"/>
          <w:color w:val="5B5B5B"/>
          <w:sz w:val="22"/>
          <w:szCs w:val="22"/>
        </w:rPr>
        <w:t xml:space="preserve">Status: Draf untuk Peninjauan Pemangku Kepentingan</w:t>
      </w:r>
    </w:p>
    <w:p>
      <w:r>
        <w:br w:type="page"/>
      </w:r>
    </w:p>
    <w:p>
      <w:pPr>
        <w:pStyle w:val="Heading1"/>
        <w:pBdr>
          <w:bottom w:val="single" w:color="1B3A4B" w:sz="6" w:space="4"/>
        </w:pBdr>
        <w:spacing w:after="200" w:before="400"/>
      </w:pPr>
      <w:r>
        <w:rPr>
          <w:rFonts w:ascii="Georgia" w:cs="Georgia" w:eastAsia="Georgia" w:hAnsi="Georgia"/>
          <w:b/>
          <w:bCs/>
          <w:color w:val="1B3A4B"/>
          <w:sz w:val="32"/>
          <w:szCs w:val="32"/>
        </w:rPr>
        <w:t xml:space="preserve">1. Ringkasan Eksekutif</w:t>
      </w:r>
    </w:p>
    <w:p>
      <w:pPr>
        <w:spacing w:after="160" w:line="300"/>
      </w:pPr>
      <w:r>
        <w:rPr>
          <w:rFonts w:ascii="Calibri" w:cs="Calibri" w:eastAsia="Calibri" w:hAnsi="Calibri"/>
          <w:sz w:val="22"/>
          <w:szCs w:val="22"/>
        </w:rPr>
        <w:t xml:space="preserve">Wilayah Sungai (WS) Citanduy menghasilkan data hidrologi terbuka melalui SIH3 BBWS Citanduy yang saat ini tidak dimanfaatkan secara optimal. Data mentah tersebut memiliki nilai mitigasi risiko bernilai ratusan juta rupiah per kejadian bagi pelaku usaha akuakultur dan konsultan teknik/AMDAL, namun tidak memiliki nilai guna langsung bagi masyarakat awam tanpa interpretasi.</w:t>
      </w:r>
    </w:p>
    <w:p>
      <w:pPr>
        <w:spacing w:after="160" w:line="300"/>
      </w:pPr>
      <w:r>
        <w:rPr>
          <w:rFonts w:ascii="Calibri" w:cs="Calibri" w:eastAsia="Calibri" w:hAnsi="Calibri"/>
          <w:sz w:val="22"/>
          <w:szCs w:val="22"/>
        </w:rPr>
        <w:t xml:space="preserve">Dokumen ini menetapkan kebutuhan bisnis untuk membangun platform hibrida yang memonetisasi data tersebut melalui dua lini komersial bernilai tinggi (AquaAlert dan Hydro-AMDAL Engine), dengan pendapatannya digunakan untuk mensubsidi silang layanan dasbor publik gratis bagi warga dan petani sepanjang DAS Citanduy.</w:t>
      </w:r>
    </w:p>
    <w:p>
      <w:pPr>
        <w:pStyle w:val="Heading1"/>
        <w:pBdr>
          <w:bottom w:val="single" w:color="1B3A4B" w:sz="6" w:space="4"/>
        </w:pBdr>
        <w:spacing w:after="200" w:before="400"/>
      </w:pPr>
      <w:r>
        <w:rPr>
          <w:rFonts w:ascii="Georgia" w:cs="Georgia" w:eastAsia="Georgia" w:hAnsi="Georgia"/>
          <w:b/>
          <w:bCs/>
          <w:color w:val="1B3A4B"/>
          <w:sz w:val="32"/>
          <w:szCs w:val="32"/>
        </w:rPr>
        <w:t xml:space="preserve">2. Latar Belakang Bisnis</w:t>
      </w:r>
    </w:p>
    <w:p>
      <w:pPr>
        <w:pStyle w:val="Heading2"/>
        <w:spacing w:after="150" w:before="300"/>
      </w:pPr>
      <w:r>
        <w:rPr>
          <w:rFonts w:ascii="Georgia" w:cs="Georgia" w:eastAsia="Georgia" w:hAnsi="Georgia"/>
          <w:b/>
          <w:bCs/>
          <w:color w:val="1B3A4B"/>
          <w:sz w:val="26"/>
          <w:szCs w:val="26"/>
        </w:rPr>
        <w:t xml:space="preserve">2.1 Peluang Pasar</w:t>
      </w:r>
    </w:p>
    <w:p>
      <w:pPr>
        <w:pStyle w:val="ListParagraph"/>
        <w:numPr>
          <w:ilvl w:val="0"/>
          <w:numId w:val="2"/>
        </w:numPr>
        <w:spacing w:after="90"/>
      </w:pPr>
      <w:r>
        <w:rPr>
          <w:rFonts w:ascii="Calibri" w:cs="Calibri" w:eastAsia="Calibri" w:hAnsi="Calibri"/>
          <w:sz w:val="22"/>
          <w:szCs w:val="22"/>
        </w:rPr>
        <w:t xml:space="preserve">Sektor akuakultur intensif (tambak udang vaname dan bandeng) di muara Citanduy, khususnya Kabupaten Cilacap dan Pangandaran, menghadapi risiko kematian massal akibat intrusi air tawar mendadak yang merusak salinitas kolam — kerugian dapat mencapai ratusan juta rupiah per kejadian.</w:t>
      </w:r>
    </w:p>
    <w:p>
      <w:pPr>
        <w:pStyle w:val="ListParagraph"/>
        <w:numPr>
          <w:ilvl w:val="0"/>
          <w:numId w:val="2"/>
        </w:numPr>
        <w:spacing w:after="90"/>
      </w:pPr>
      <w:r>
        <w:rPr>
          <w:rFonts w:ascii="Calibri" w:cs="Calibri" w:eastAsia="Calibri" w:hAnsi="Calibri"/>
          <w:sz w:val="22"/>
          <w:szCs w:val="22"/>
        </w:rPr>
        <w:t xml:space="preserve">Konsultan teknik lingkungan dan sipil menghabiskan puluhan jam kerja manual untuk mengolah data hidrologi mentah menjadi laporan AMDAL/hidrologi — membuka peluang efisiensi bernilai tinggi melalui otomasi.</w:t>
      </w:r>
    </w:p>
    <w:p>
      <w:pPr>
        <w:pStyle w:val="ListParagraph"/>
        <w:numPr>
          <w:ilvl w:val="0"/>
          <w:numId w:val="2"/>
        </w:numPr>
        <w:spacing w:after="90"/>
      </w:pPr>
      <w:r>
        <w:rPr>
          <w:rFonts w:ascii="Calibri" w:cs="Calibri" w:eastAsia="Calibri" w:hAnsi="Calibri"/>
          <w:sz w:val="22"/>
          <w:szCs w:val="22"/>
        </w:rPr>
        <w:t xml:space="preserve">Data terbuka pemerintah (SIH3) belum memiliki lapisan interpretasi yang ramah pengguna bagi masyarakat umum, sehingga potensi dampak sosial (keselamatan jiwa, ketahanan pangan) belum tergarap.</w:t>
      </w:r>
    </w:p>
    <w:p>
      <w:pPr>
        <w:pStyle w:val="Heading2"/>
        <w:spacing w:after="150" w:before="300"/>
      </w:pPr>
      <w:r>
        <w:rPr>
          <w:rFonts w:ascii="Georgia" w:cs="Georgia" w:eastAsia="Georgia" w:hAnsi="Georgia"/>
          <w:b/>
          <w:bCs/>
          <w:color w:val="1B3A4B"/>
          <w:sz w:val="26"/>
          <w:szCs w:val="26"/>
        </w:rPr>
        <w:t xml:space="preserve">2.2 Masalah yang Dipecahkan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400"/>
      </w:tblGrid>
      <w:tr>
        <w:trPr>
          <w:tblHeader/>
        </w:trPr>
        <w:tc>
          <w:tcPr>
            <w:tcW w:type="dxa" w:w="2200"/>
            <w:shd w:fill="1B3A4B" w:val="clear"/>
            <w:tcMar>
              <w:top w:type="dxa" w:w="80"/>
              <w:left w:type="dxa" w:w="100"/>
              <w:bottom w:type="dxa" w:w="80"/>
              <w:right w:type="dxa" w:w="100"/>
            </w:tcMar>
          </w:tcPr>
          <w:p>
            <w:r>
              <w:rPr>
                <w:rFonts w:ascii="Calibri" w:cs="Calibri" w:eastAsia="Calibri" w:hAnsi="Calibri"/>
                <w:b/>
                <w:bCs/>
                <w:color w:val="FFFFFF"/>
                <w:sz w:val="20"/>
                <w:szCs w:val="20"/>
              </w:rPr>
              <w:t xml:space="preserve">Segmen</w:t>
            </w:r>
          </w:p>
        </w:tc>
        <w:tc>
          <w:tcPr>
            <w:tcW w:type="dxa" w:w="3700"/>
            <w:shd w:fill="1B3A4B" w:val="clear"/>
            <w:tcMar>
              <w:top w:type="dxa" w:w="80"/>
              <w:left w:type="dxa" w:w="100"/>
              <w:bottom w:type="dxa" w:w="80"/>
              <w:right w:type="dxa" w:w="100"/>
            </w:tcMar>
          </w:tcPr>
          <w:p>
            <w:r>
              <w:rPr>
                <w:rFonts w:ascii="Calibri" w:cs="Calibri" w:eastAsia="Calibri" w:hAnsi="Calibri"/>
                <w:b/>
                <w:bCs/>
                <w:color w:val="FFFFFF"/>
                <w:sz w:val="20"/>
                <w:szCs w:val="20"/>
              </w:rPr>
              <w:t xml:space="preserve">Masalah Bisnis</w:t>
            </w:r>
          </w:p>
        </w:tc>
        <w:tc>
          <w:tcPr>
            <w:tcW w:type="dxa" w:w="3400"/>
            <w:shd w:fill="1B3A4B" w:val="clear"/>
            <w:tcMar>
              <w:top w:type="dxa" w:w="80"/>
              <w:left w:type="dxa" w:w="100"/>
              <w:bottom w:type="dxa" w:w="80"/>
              <w:right w:type="dxa" w:w="100"/>
            </w:tcMar>
          </w:tcPr>
          <w:p>
            <w:r>
              <w:rPr>
                <w:rFonts w:ascii="Calibri" w:cs="Calibri" w:eastAsia="Calibri" w:hAnsi="Calibri"/>
                <w:b/>
                <w:bCs/>
                <w:color w:val="FFFFFF"/>
                <w:sz w:val="20"/>
                <w:szCs w:val="20"/>
              </w:rPr>
              <w:t xml:space="preserve">Nilai yang Hilang Saat Ini</w:t>
            </w:r>
          </w:p>
        </w:tc>
      </w:tr>
      <w:tr>
        <w:tc>
          <w:tcPr>
            <w:tcW w:type="dxa" w:w="2200"/>
            <w:tcMar>
              <w:top w:type="dxa" w:w="80"/>
              <w:left w:type="dxa" w:w="100"/>
              <w:bottom w:type="dxa" w:w="80"/>
              <w:right w:type="dxa" w:w="100"/>
            </w:tcMar>
          </w:tcPr>
          <w:p>
            <w:r>
              <w:rPr>
                <w:rFonts w:ascii="Calibri" w:cs="Calibri" w:eastAsia="Calibri" w:hAnsi="Calibri"/>
                <w:sz w:val="20"/>
                <w:szCs w:val="20"/>
              </w:rPr>
              <w:t xml:space="preserve">Petambak Intensif</w:t>
            </w:r>
          </w:p>
        </w:tc>
        <w:tc>
          <w:tcPr>
            <w:tcW w:type="dxa" w:w="3700"/>
            <w:tcMar>
              <w:top w:type="dxa" w:w="80"/>
              <w:left w:type="dxa" w:w="100"/>
              <w:bottom w:type="dxa" w:w="80"/>
              <w:right w:type="dxa" w:w="100"/>
            </w:tcMar>
          </w:tcPr>
          <w:p>
            <w:r>
              <w:rPr>
                <w:rFonts w:ascii="Calibri" w:cs="Calibri" w:eastAsia="Calibri" w:hAnsi="Calibri"/>
                <w:sz w:val="20"/>
                <w:szCs w:val="20"/>
              </w:rPr>
              <w:t xml:space="preserve">Tidak ada peringatan dini atas perubahan debit/salinitas muara akibat hujan hulu.</w:t>
            </w:r>
          </w:p>
        </w:tc>
        <w:tc>
          <w:tcPr>
            <w:tcW w:type="dxa" w:w="3400"/>
            <w:tcMar>
              <w:top w:type="dxa" w:w="80"/>
              <w:left w:type="dxa" w:w="100"/>
              <w:bottom w:type="dxa" w:w="80"/>
              <w:right w:type="dxa" w:w="100"/>
            </w:tcMar>
          </w:tcPr>
          <w:p>
            <w:r>
              <w:rPr>
                <w:rFonts w:ascii="Calibri" w:cs="Calibri" w:eastAsia="Calibri" w:hAnsi="Calibri"/>
                <w:sz w:val="20"/>
                <w:szCs w:val="20"/>
              </w:rPr>
              <w:t xml:space="preserve">Kerugian ratusan juta rupiah per kejadian kematian massal udang/bandeng.</w:t>
            </w:r>
          </w:p>
        </w:tc>
      </w:tr>
      <w:tr>
        <w:tc>
          <w:tcPr>
            <w:tcW w:type="dxa" w:w="2200"/>
            <w:shd w:fill="F2EFE9" w:val="clear"/>
            <w:tcMar>
              <w:top w:type="dxa" w:w="80"/>
              <w:left w:type="dxa" w:w="100"/>
              <w:bottom w:type="dxa" w:w="80"/>
              <w:right w:type="dxa" w:w="100"/>
            </w:tcMar>
          </w:tcPr>
          <w:p>
            <w:r>
              <w:rPr>
                <w:rFonts w:ascii="Calibri" w:cs="Calibri" w:eastAsia="Calibri" w:hAnsi="Calibri"/>
                <w:sz w:val="20"/>
                <w:szCs w:val="20"/>
              </w:rPr>
              <w:t xml:space="preserve">Konsultan/Korporat</w:t>
            </w:r>
          </w:p>
        </w:tc>
        <w:tc>
          <w:tcPr>
            <w:tcW w:type="dxa" w:w="3700"/>
            <w:shd w:fill="F2EFE9" w:val="clear"/>
            <w:tcMar>
              <w:top w:type="dxa" w:w="80"/>
              <w:left w:type="dxa" w:w="100"/>
              <w:bottom w:type="dxa" w:w="80"/>
              <w:right w:type="dxa" w:w="100"/>
            </w:tcMar>
          </w:tcPr>
          <w:p>
            <w:r>
              <w:rPr>
                <w:rFonts w:ascii="Calibri" w:cs="Calibri" w:eastAsia="Calibri" w:hAnsi="Calibri"/>
                <w:sz w:val="20"/>
                <w:szCs w:val="20"/>
              </w:rPr>
              <w:t xml:space="preserve">Pengolahan data hidrologi manual untuk laporan AMDAL/teknik memakan puluhan jam kerja.</w:t>
            </w:r>
          </w:p>
        </w:tc>
        <w:tc>
          <w:tcPr>
            <w:tcW w:type="dxa" w:w="3400"/>
            <w:shd w:fill="F2EFE9" w:val="clear"/>
            <w:tcMar>
              <w:top w:type="dxa" w:w="80"/>
              <w:left w:type="dxa" w:w="100"/>
              <w:bottom w:type="dxa" w:w="80"/>
              <w:right w:type="dxa" w:w="100"/>
            </w:tcMar>
          </w:tcPr>
          <w:p>
            <w:r>
              <w:rPr>
                <w:rFonts w:ascii="Calibri" w:cs="Calibri" w:eastAsia="Calibri" w:hAnsi="Calibri"/>
                <w:sz w:val="20"/>
                <w:szCs w:val="20"/>
              </w:rPr>
              <w:t xml:space="preserve">Biaya tenaga kerja tinggi, waktu penyelesaian proyek lambat, potensi kesalahan analisis manual.</w:t>
            </w:r>
          </w:p>
        </w:tc>
      </w:tr>
      <w:tr>
        <w:tc>
          <w:tcPr>
            <w:tcW w:type="dxa" w:w="2200"/>
            <w:tcMar>
              <w:top w:type="dxa" w:w="80"/>
              <w:left w:type="dxa" w:w="100"/>
              <w:bottom w:type="dxa" w:w="80"/>
              <w:right w:type="dxa" w:w="100"/>
            </w:tcMar>
          </w:tcPr>
          <w:p>
            <w:r>
              <w:rPr>
                <w:rFonts w:ascii="Calibri" w:cs="Calibri" w:eastAsia="Calibri" w:hAnsi="Calibri"/>
                <w:sz w:val="20"/>
                <w:szCs w:val="20"/>
              </w:rPr>
              <w:t xml:space="preserve">Masyarakat/Petani</w:t>
            </w:r>
          </w:p>
        </w:tc>
        <w:tc>
          <w:tcPr>
            <w:tcW w:type="dxa" w:w="3700"/>
            <w:tcMar>
              <w:top w:type="dxa" w:w="80"/>
              <w:left w:type="dxa" w:w="100"/>
              <w:bottom w:type="dxa" w:w="80"/>
              <w:right w:type="dxa" w:w="100"/>
            </w:tcMar>
          </w:tcPr>
          <w:p>
            <w:r>
              <w:rPr>
                <w:rFonts w:ascii="Calibri" w:cs="Calibri" w:eastAsia="Calibri" w:hAnsi="Calibri"/>
                <w:sz w:val="20"/>
                <w:szCs w:val="20"/>
              </w:rPr>
              <w:t xml:space="preserve">Data hidrologi mentah tidak dapat diinterpretasi tanpa keahlian teknis.</w:t>
            </w:r>
          </w:p>
        </w:tc>
        <w:tc>
          <w:tcPr>
            <w:tcW w:type="dxa" w:w="3400"/>
            <w:tcMar>
              <w:top w:type="dxa" w:w="80"/>
              <w:left w:type="dxa" w:w="100"/>
              <w:bottom w:type="dxa" w:w="80"/>
              <w:right w:type="dxa" w:w="100"/>
            </w:tcMar>
          </w:tcPr>
          <w:p>
            <w:r>
              <w:rPr>
                <w:rFonts w:ascii="Calibri" w:cs="Calibri" w:eastAsia="Calibri" w:hAnsi="Calibri"/>
                <w:sz w:val="20"/>
                <w:szCs w:val="20"/>
              </w:rPr>
              <w:t xml:space="preserve">Keterlambatan evakuasi saat banjir; keputusan tani yang kurang tepat waktu (pupuk, panen, tebar benih).</w:t>
            </w:r>
          </w:p>
        </w:tc>
      </w:tr>
    </w:tbl>
    <w:p>
      <w:pPr>
        <w:pStyle w:val="Heading1"/>
        <w:pBdr>
          <w:bottom w:val="single" w:color="1B3A4B" w:sz="6" w:space="4"/>
        </w:pBdr>
        <w:spacing w:after="200" w:before="400"/>
      </w:pPr>
      <w:r>
        <w:rPr>
          <w:rFonts w:ascii="Georgia" w:cs="Georgia" w:eastAsia="Georgia" w:hAnsi="Georgia"/>
          <w:b/>
          <w:bCs/>
          <w:color w:val="1B3A4B"/>
          <w:sz w:val="32"/>
          <w:szCs w:val="32"/>
        </w:rPr>
        <w:t xml:space="preserve">3. Tujuan &amp; Sasaran Bisnis</w:t>
      </w:r>
    </w:p>
    <w:p>
      <w:pPr>
        <w:pStyle w:val="Heading2"/>
        <w:spacing w:after="150" w:before="300"/>
      </w:pPr>
      <w:r>
        <w:rPr>
          <w:rFonts w:ascii="Georgia" w:cs="Georgia" w:eastAsia="Georgia" w:hAnsi="Georgia"/>
          <w:b/>
          <w:bCs/>
          <w:color w:val="1B3A4B"/>
          <w:sz w:val="26"/>
          <w:szCs w:val="26"/>
        </w:rPr>
        <w:t xml:space="preserve">3.1 Tujuan Strategis</w:t>
      </w:r>
    </w:p>
    <w:p>
      <w:pPr>
        <w:pStyle w:val="ListParagraph"/>
        <w:numPr>
          <w:ilvl w:val="0"/>
          <w:numId w:val="3"/>
        </w:numPr>
        <w:spacing w:after="90"/>
      </w:pPr>
      <w:r>
        <w:rPr>
          <w:rFonts w:ascii="Calibri" w:cs="Calibri" w:eastAsia="Calibri" w:hAnsi="Calibri"/>
          <w:sz w:val="22"/>
          <w:szCs w:val="22"/>
        </w:rPr>
        <w:t xml:space="preserve">Membangun aliran pendapatan berkelanjutan dari data publik terbuka melalui model B2B bernilai tinggi (AquaAlert dan Hydro-AMDAL Engine).</w:t>
      </w:r>
    </w:p>
    <w:p>
      <w:pPr>
        <w:pStyle w:val="ListParagraph"/>
        <w:numPr>
          <w:ilvl w:val="0"/>
          <w:numId w:val="3"/>
        </w:numPr>
        <w:spacing w:after="90"/>
      </w:pPr>
      <w:r>
        <w:rPr>
          <w:rFonts w:ascii="Calibri" w:cs="Calibri" w:eastAsia="Calibri" w:hAnsi="Calibri"/>
          <w:sz w:val="22"/>
          <w:szCs w:val="22"/>
        </w:rPr>
        <w:t xml:space="preserve">Mensubsidi silang layanan sosial (dasbor publik gratis) sehingga tidak bergantung pada dana hibah atau anggaran pemerintah semata.</w:t>
      </w:r>
    </w:p>
    <w:p>
      <w:pPr>
        <w:pStyle w:val="ListParagraph"/>
        <w:numPr>
          <w:ilvl w:val="0"/>
          <w:numId w:val="3"/>
        </w:numPr>
        <w:spacing w:after="90"/>
      </w:pPr>
      <w:r>
        <w:rPr>
          <w:rFonts w:ascii="Calibri" w:cs="Calibri" w:eastAsia="Calibri" w:hAnsi="Calibri"/>
          <w:sz w:val="22"/>
          <w:szCs w:val="22"/>
        </w:rPr>
        <w:t xml:space="preserve">Memposisikan platform sebagai mitra data tepercaya bagi BBWS Citanduy dan BPBD dalam mitigasi bencana wilayah.</w:t>
      </w:r>
    </w:p>
    <w:p>
      <w:pPr>
        <w:pStyle w:val="ListParagraph"/>
        <w:numPr>
          <w:ilvl w:val="0"/>
          <w:numId w:val="3"/>
        </w:numPr>
        <w:spacing w:after="90"/>
      </w:pPr>
      <w:r>
        <w:rPr>
          <w:rFonts w:ascii="Calibri" w:cs="Calibri" w:eastAsia="Calibri" w:hAnsi="Calibri"/>
          <w:sz w:val="22"/>
          <w:szCs w:val="22"/>
        </w:rPr>
        <w:t xml:space="preserve">Mencapai efisiensi operasional melalui satu pipa data terpusat yang melayani seluruh lini bisnis.</w:t>
      </w:r>
    </w:p>
    <w:p>
      <w:pPr>
        <w:pStyle w:val="Heading2"/>
        <w:spacing w:after="150" w:before="300"/>
      </w:pPr>
      <w:r>
        <w:rPr>
          <w:rFonts w:ascii="Georgia" w:cs="Georgia" w:eastAsia="Georgia" w:hAnsi="Georgia"/>
          <w:b/>
          <w:bCs/>
          <w:color w:val="1B3A4B"/>
          <w:sz w:val="26"/>
          <w:szCs w:val="26"/>
        </w:rPr>
        <w:t xml:space="preserve">3.2 Kriteria Keberhasilan Bisnis (Business Success Criteria)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500"/>
        <w:gridCol w:w="3800"/>
        <w:gridCol w:w="3000"/>
      </w:tblGrid>
      <w:tr>
        <w:trPr>
          <w:tblHeader/>
        </w:trPr>
        <w:tc>
          <w:tcPr>
            <w:tcW w:type="dxa" w:w="2500"/>
            <w:shd w:fill="1B3A4B" w:val="clear"/>
            <w:tcMar>
              <w:top w:type="dxa" w:w="80"/>
              <w:left w:type="dxa" w:w="100"/>
              <w:bottom w:type="dxa" w:w="80"/>
              <w:right w:type="dxa" w:w="100"/>
            </w:tcMar>
          </w:tcPr>
          <w:p>
            <w:r>
              <w:rPr>
                <w:rFonts w:ascii="Calibri" w:cs="Calibri" w:eastAsia="Calibri" w:hAnsi="Calibri"/>
                <w:b/>
                <w:bCs/>
                <w:color w:val="FFFFFF"/>
                <w:sz w:val="20"/>
                <w:szCs w:val="20"/>
              </w:rPr>
              <w:t xml:space="preserve">Sasaran</w:t>
            </w:r>
          </w:p>
        </w:tc>
        <w:tc>
          <w:tcPr>
            <w:tcW w:type="dxa" w:w="3800"/>
            <w:shd w:fill="1B3A4B" w:val="clear"/>
            <w:tcMar>
              <w:top w:type="dxa" w:w="80"/>
              <w:left w:type="dxa" w:w="100"/>
              <w:bottom w:type="dxa" w:w="80"/>
              <w:right w:type="dxa" w:w="100"/>
            </w:tcMar>
          </w:tcPr>
          <w:p>
            <w:r>
              <w:rPr>
                <w:rFonts w:ascii="Calibri" w:cs="Calibri" w:eastAsia="Calibri" w:hAnsi="Calibri"/>
                <w:b/>
                <w:bCs/>
                <w:color w:val="FFFFFF"/>
                <w:sz w:val="20"/>
                <w:szCs w:val="20"/>
              </w:rPr>
              <w:t xml:space="preserve">Indikator</w:t>
            </w:r>
          </w:p>
        </w:tc>
        <w:tc>
          <w:tcPr>
            <w:tcW w:type="dxa" w:w="3000"/>
            <w:shd w:fill="1B3A4B" w:val="clear"/>
            <w:tcMar>
              <w:top w:type="dxa" w:w="80"/>
              <w:left w:type="dxa" w:w="100"/>
              <w:bottom w:type="dxa" w:w="80"/>
              <w:right w:type="dxa" w:w="100"/>
            </w:tcMar>
          </w:tcPr>
          <w:p>
            <w:r>
              <w:rPr>
                <w:rFonts w:ascii="Calibri" w:cs="Calibri" w:eastAsia="Calibri" w:hAnsi="Calibri"/>
                <w:b/>
                <w:bCs/>
                <w:color w:val="FFFFFF"/>
                <w:sz w:val="20"/>
                <w:szCs w:val="20"/>
              </w:rPr>
              <w:t xml:space="preserve">Target Bulan ke-6</w:t>
            </w:r>
          </w:p>
        </w:tc>
      </w:tr>
      <w:tr>
        <w:tc>
          <w:tcPr>
            <w:tcW w:type="dxa" w:w="2500"/>
            <w:tcMar>
              <w:top w:type="dxa" w:w="80"/>
              <w:left w:type="dxa" w:w="100"/>
              <w:bottom w:type="dxa" w:w="80"/>
              <w:right w:type="dxa" w:w="100"/>
            </w:tcMar>
          </w:tcPr>
          <w:p>
            <w:r>
              <w:rPr>
                <w:rFonts w:ascii="Calibri" w:cs="Calibri" w:eastAsia="Calibri" w:hAnsi="Calibri"/>
                <w:sz w:val="20"/>
                <w:szCs w:val="20"/>
              </w:rPr>
              <w:t xml:space="preserve">Keberlanjutan finansial</w:t>
            </w:r>
          </w:p>
        </w:tc>
        <w:tc>
          <w:tcPr>
            <w:tcW w:type="dxa" w:w="3800"/>
            <w:tcMar>
              <w:top w:type="dxa" w:w="80"/>
              <w:left w:type="dxa" w:w="100"/>
              <w:bottom w:type="dxa" w:w="80"/>
              <w:right w:type="dxa" w:w="100"/>
            </w:tcMar>
          </w:tcPr>
          <w:p>
            <w:r>
              <w:rPr>
                <w:rFonts w:ascii="Calibri" w:cs="Calibri" w:eastAsia="Calibri" w:hAnsi="Calibri"/>
                <w:sz w:val="20"/>
                <w:szCs w:val="20"/>
              </w:rPr>
              <w:t xml:space="preserve">Pendapatan komersial menutup biaya operasional platform (server, basis data, komputasi AI)</w:t>
            </w:r>
          </w:p>
        </w:tc>
        <w:tc>
          <w:tcPr>
            <w:tcW w:type="dxa" w:w="3000"/>
            <w:tcMar>
              <w:top w:type="dxa" w:w="80"/>
              <w:left w:type="dxa" w:w="100"/>
              <w:bottom w:type="dxa" w:w="80"/>
              <w:right w:type="dxa" w:w="100"/>
            </w:tcMar>
          </w:tcPr>
          <w:p>
            <w:r>
              <w:rPr>
                <w:rFonts w:ascii="Calibri" w:cs="Calibri" w:eastAsia="Calibri" w:hAnsi="Calibri"/>
                <w:sz w:val="20"/>
                <w:szCs w:val="20"/>
              </w:rPr>
              <w:t xml:space="preserve">Break-even pada biaya operasional inti</w:t>
            </w:r>
          </w:p>
        </w:tc>
      </w:tr>
      <w:tr>
        <w:tc>
          <w:tcPr>
            <w:tcW w:type="dxa" w:w="2500"/>
            <w:shd w:fill="F2EFE9" w:val="clear"/>
            <w:tcMar>
              <w:top w:type="dxa" w:w="80"/>
              <w:left w:type="dxa" w:w="100"/>
              <w:bottom w:type="dxa" w:w="80"/>
              <w:right w:type="dxa" w:w="100"/>
            </w:tcMar>
          </w:tcPr>
          <w:p>
            <w:r>
              <w:rPr>
                <w:rFonts w:ascii="Calibri" w:cs="Calibri" w:eastAsia="Calibri" w:hAnsi="Calibri"/>
                <w:sz w:val="20"/>
                <w:szCs w:val="20"/>
              </w:rPr>
              <w:t xml:space="preserve">Penetrasi pasar AquaAlert</w:t>
            </w:r>
          </w:p>
        </w:tc>
        <w:tc>
          <w:tcPr>
            <w:tcW w:type="dxa" w:w="3800"/>
            <w:shd w:fill="F2EFE9" w:val="clear"/>
            <w:tcMar>
              <w:top w:type="dxa" w:w="80"/>
              <w:left w:type="dxa" w:w="100"/>
              <w:bottom w:type="dxa" w:w="80"/>
              <w:right w:type="dxa" w:w="100"/>
            </w:tcMar>
          </w:tcPr>
          <w:p>
            <w:r>
              <w:rPr>
                <w:rFonts w:ascii="Calibri" w:cs="Calibri" w:eastAsia="Calibri" w:hAnsi="Calibri"/>
                <w:sz w:val="20"/>
                <w:szCs w:val="20"/>
              </w:rPr>
              <w:t xml:space="preserve">Jumlah lokasi tambak berlangganan aktif</w:t>
            </w:r>
          </w:p>
        </w:tc>
        <w:tc>
          <w:tcPr>
            <w:tcW w:type="dxa" w:w="3000"/>
            <w:shd w:fill="F2EFE9" w:val="clear"/>
            <w:tcMar>
              <w:top w:type="dxa" w:w="80"/>
              <w:left w:type="dxa" w:w="100"/>
              <w:bottom w:type="dxa" w:w="80"/>
              <w:right w:type="dxa" w:w="100"/>
            </w:tcMar>
          </w:tcPr>
          <w:p>
            <w:r>
              <w:rPr>
                <w:rFonts w:ascii="Calibri" w:cs="Calibri" w:eastAsia="Calibri" w:hAnsi="Calibri"/>
                <w:sz w:val="20"/>
                <w:szCs w:val="20"/>
              </w:rPr>
              <w:t xml:space="preserve">≥ 40 lokasi</w:t>
            </w:r>
          </w:p>
        </w:tc>
      </w:tr>
      <w:tr>
        <w:tc>
          <w:tcPr>
            <w:tcW w:type="dxa" w:w="2500"/>
            <w:tcMar>
              <w:top w:type="dxa" w:w="80"/>
              <w:left w:type="dxa" w:w="100"/>
              <w:bottom w:type="dxa" w:w="80"/>
              <w:right w:type="dxa" w:w="100"/>
            </w:tcMar>
          </w:tcPr>
          <w:p>
            <w:r>
              <w:rPr>
                <w:rFonts w:ascii="Calibri" w:cs="Calibri" w:eastAsia="Calibri" w:hAnsi="Calibri"/>
                <w:sz w:val="20"/>
                <w:szCs w:val="20"/>
              </w:rPr>
              <w:t xml:space="preserve">Penetrasi pasar Hydro-AMDAL</w:t>
            </w:r>
          </w:p>
        </w:tc>
        <w:tc>
          <w:tcPr>
            <w:tcW w:type="dxa" w:w="3800"/>
            <w:tcMar>
              <w:top w:type="dxa" w:w="80"/>
              <w:left w:type="dxa" w:w="100"/>
              <w:bottom w:type="dxa" w:w="80"/>
              <w:right w:type="dxa" w:w="100"/>
            </w:tcMar>
          </w:tcPr>
          <w:p>
            <w:r>
              <w:rPr>
                <w:rFonts w:ascii="Calibri" w:cs="Calibri" w:eastAsia="Calibri" w:hAnsi="Calibri"/>
                <w:sz w:val="20"/>
                <w:szCs w:val="20"/>
              </w:rPr>
              <w:t xml:space="preserve">Jumlah lisensi tahunan / laporan pay-per-project terjual</w:t>
            </w:r>
          </w:p>
        </w:tc>
        <w:tc>
          <w:tcPr>
            <w:tcW w:type="dxa" w:w="3000"/>
            <w:tcMar>
              <w:top w:type="dxa" w:w="80"/>
              <w:left w:type="dxa" w:w="100"/>
              <w:bottom w:type="dxa" w:w="80"/>
              <w:right w:type="dxa" w:w="100"/>
            </w:tcMar>
          </w:tcPr>
          <w:p>
            <w:r>
              <w:rPr>
                <w:rFonts w:ascii="Calibri" w:cs="Calibri" w:eastAsia="Calibri" w:hAnsi="Calibri"/>
                <w:sz w:val="20"/>
                <w:szCs w:val="20"/>
              </w:rPr>
              <w:t xml:space="preserve">≥ 3 lisensi tahunan atau setara ≥ 15 laporan/bulan</w:t>
            </w:r>
          </w:p>
        </w:tc>
      </w:tr>
      <w:tr>
        <w:tc>
          <w:tcPr>
            <w:tcW w:type="dxa" w:w="2500"/>
            <w:shd w:fill="F2EFE9" w:val="clear"/>
            <w:tcMar>
              <w:top w:type="dxa" w:w="80"/>
              <w:left w:type="dxa" w:w="100"/>
              <w:bottom w:type="dxa" w:w="80"/>
              <w:right w:type="dxa" w:w="100"/>
            </w:tcMar>
          </w:tcPr>
          <w:p>
            <w:r>
              <w:rPr>
                <w:rFonts w:ascii="Calibri" w:cs="Calibri" w:eastAsia="Calibri" w:hAnsi="Calibri"/>
                <w:sz w:val="20"/>
                <w:szCs w:val="20"/>
              </w:rPr>
              <w:t xml:space="preserve">Dampak sosial</w:t>
            </w:r>
          </w:p>
        </w:tc>
        <w:tc>
          <w:tcPr>
            <w:tcW w:type="dxa" w:w="3800"/>
            <w:shd w:fill="F2EFE9" w:val="clear"/>
            <w:tcMar>
              <w:top w:type="dxa" w:w="80"/>
              <w:left w:type="dxa" w:w="100"/>
              <w:bottom w:type="dxa" w:w="80"/>
              <w:right w:type="dxa" w:w="100"/>
            </w:tcMar>
          </w:tcPr>
          <w:p>
            <w:r>
              <w:rPr>
                <w:rFonts w:ascii="Calibri" w:cs="Calibri" w:eastAsia="Calibri" w:hAnsi="Calibri"/>
                <w:sz w:val="20"/>
                <w:szCs w:val="20"/>
              </w:rPr>
              <w:t xml:space="preserve">Jumlah pengguna aktif bulanan dasbor publik gratis</w:t>
            </w:r>
          </w:p>
        </w:tc>
        <w:tc>
          <w:tcPr>
            <w:tcW w:type="dxa" w:w="3000"/>
            <w:shd w:fill="F2EFE9" w:val="clear"/>
            <w:tcMar>
              <w:top w:type="dxa" w:w="80"/>
              <w:left w:type="dxa" w:w="100"/>
              <w:bottom w:type="dxa" w:w="80"/>
              <w:right w:type="dxa" w:w="100"/>
            </w:tcMar>
          </w:tcPr>
          <w:p>
            <w:r>
              <w:rPr>
                <w:rFonts w:ascii="Calibri" w:cs="Calibri" w:eastAsia="Calibri" w:hAnsi="Calibri"/>
                <w:sz w:val="20"/>
                <w:szCs w:val="20"/>
              </w:rPr>
              <w:t xml:space="preserve">≥ 15.000 MAU</w:t>
            </w:r>
          </w:p>
        </w:tc>
      </w:tr>
      <w:tr>
        <w:tc>
          <w:tcPr>
            <w:tcW w:type="dxa" w:w="2500"/>
            <w:tcMar>
              <w:top w:type="dxa" w:w="80"/>
              <w:left w:type="dxa" w:w="100"/>
              <w:bottom w:type="dxa" w:w="80"/>
              <w:right w:type="dxa" w:w="100"/>
            </w:tcMar>
          </w:tcPr>
          <w:p>
            <w:r>
              <w:rPr>
                <w:rFonts w:ascii="Calibri" w:cs="Calibri" w:eastAsia="Calibri" w:hAnsi="Calibri"/>
                <w:sz w:val="20"/>
                <w:szCs w:val="20"/>
              </w:rPr>
              <w:t xml:space="preserve">Kemitraan institusional</w:t>
            </w:r>
          </w:p>
        </w:tc>
        <w:tc>
          <w:tcPr>
            <w:tcW w:type="dxa" w:w="3800"/>
            <w:tcMar>
              <w:top w:type="dxa" w:w="80"/>
              <w:left w:type="dxa" w:w="100"/>
              <w:bottom w:type="dxa" w:w="80"/>
              <w:right w:type="dxa" w:w="100"/>
            </w:tcMar>
          </w:tcPr>
          <w:p>
            <w:r>
              <w:rPr>
                <w:rFonts w:ascii="Calibri" w:cs="Calibri" w:eastAsia="Calibri" w:hAnsi="Calibri"/>
                <w:sz w:val="20"/>
                <w:szCs w:val="20"/>
              </w:rPr>
              <w:t xml:space="preserve">Nota kesepahaman (MoU) resmi dengan BBWS/BPBD</w:t>
            </w:r>
          </w:p>
        </w:tc>
        <w:tc>
          <w:tcPr>
            <w:tcW w:type="dxa" w:w="3000"/>
            <w:tcMar>
              <w:top w:type="dxa" w:w="80"/>
              <w:left w:type="dxa" w:w="100"/>
              <w:bottom w:type="dxa" w:w="80"/>
              <w:right w:type="dxa" w:w="100"/>
            </w:tcMar>
          </w:tcPr>
          <w:p>
            <w:r>
              <w:rPr>
                <w:rFonts w:ascii="Calibri" w:cs="Calibri" w:eastAsia="Calibri" w:hAnsi="Calibri"/>
                <w:sz w:val="20"/>
                <w:szCs w:val="20"/>
              </w:rPr>
              <w:t xml:space="preserve">≥ 1 MoU aktif</w:t>
            </w:r>
          </w:p>
        </w:tc>
      </w:tr>
    </w:tbl>
    <w:p>
      <w:pPr>
        <w:pStyle w:val="Heading1"/>
        <w:pBdr>
          <w:bottom w:val="single" w:color="1B3A4B" w:sz="6" w:space="4"/>
        </w:pBdr>
        <w:spacing w:after="200" w:before="400"/>
      </w:pPr>
      <w:r>
        <w:rPr>
          <w:rFonts w:ascii="Georgia" w:cs="Georgia" w:eastAsia="Georgia" w:hAnsi="Georgia"/>
          <w:b/>
          <w:bCs/>
          <w:color w:val="1B3A4B"/>
          <w:sz w:val="32"/>
          <w:szCs w:val="32"/>
        </w:rPr>
        <w:t xml:space="preserve">4. Analisis Pemangku Kepentingan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700"/>
        <w:gridCol w:w="2800"/>
        <w:gridCol w:w="3800"/>
      </w:tblGrid>
      <w:tr>
        <w:trPr>
          <w:tblHeader/>
        </w:trPr>
        <w:tc>
          <w:tcPr>
            <w:tcW w:type="dxa" w:w="2700"/>
            <w:shd w:fill="1B3A4B" w:val="clear"/>
            <w:tcMar>
              <w:top w:type="dxa" w:w="80"/>
              <w:left w:type="dxa" w:w="100"/>
              <w:bottom w:type="dxa" w:w="80"/>
              <w:right w:type="dxa" w:w="100"/>
            </w:tcMar>
          </w:tcPr>
          <w:p>
            <w:r>
              <w:rPr>
                <w:rFonts w:ascii="Calibri" w:cs="Calibri" w:eastAsia="Calibri" w:hAnsi="Calibri"/>
                <w:b/>
                <w:bCs/>
                <w:color w:val="FFFFFF"/>
                <w:sz w:val="20"/>
                <w:szCs w:val="20"/>
              </w:rPr>
              <w:t xml:space="preserve">Pemangku Kepentingan</w:t>
            </w:r>
          </w:p>
        </w:tc>
        <w:tc>
          <w:tcPr>
            <w:tcW w:type="dxa" w:w="2800"/>
            <w:shd w:fill="1B3A4B" w:val="clear"/>
            <w:tcMar>
              <w:top w:type="dxa" w:w="80"/>
              <w:left w:type="dxa" w:w="100"/>
              <w:bottom w:type="dxa" w:w="80"/>
              <w:right w:type="dxa" w:w="100"/>
            </w:tcMar>
          </w:tcPr>
          <w:p>
            <w:r>
              <w:rPr>
                <w:rFonts w:ascii="Calibri" w:cs="Calibri" w:eastAsia="Calibri" w:hAnsi="Calibri"/>
                <w:b/>
                <w:bCs/>
                <w:color w:val="FFFFFF"/>
                <w:sz w:val="20"/>
                <w:szCs w:val="20"/>
              </w:rPr>
              <w:t xml:space="preserve">Peran</w:t>
            </w:r>
          </w:p>
        </w:tc>
        <w:tc>
          <w:tcPr>
            <w:tcW w:type="dxa" w:w="3800"/>
            <w:shd w:fill="1B3A4B" w:val="clear"/>
            <w:tcMar>
              <w:top w:type="dxa" w:w="80"/>
              <w:left w:type="dxa" w:w="100"/>
              <w:bottom w:type="dxa" w:w="80"/>
              <w:right w:type="dxa" w:w="100"/>
            </w:tcMar>
          </w:tcPr>
          <w:p>
            <w:r>
              <w:rPr>
                <w:rFonts w:ascii="Calibri" w:cs="Calibri" w:eastAsia="Calibri" w:hAnsi="Calibri"/>
                <w:b/>
                <w:bCs/>
                <w:color w:val="FFFFFF"/>
                <w:sz w:val="20"/>
                <w:szCs w:val="20"/>
              </w:rPr>
              <w:t xml:space="preserve">Kepentingan Utama</w:t>
            </w:r>
          </w:p>
        </w:tc>
      </w:tr>
      <w:tr>
        <w:tc>
          <w:tcPr>
            <w:tcW w:type="dxa" w:w="2700"/>
            <w:tcMar>
              <w:top w:type="dxa" w:w="80"/>
              <w:left w:type="dxa" w:w="100"/>
              <w:bottom w:type="dxa" w:w="80"/>
              <w:right w:type="dxa" w:w="100"/>
            </w:tcMar>
          </w:tcPr>
          <w:p>
            <w:r>
              <w:rPr>
                <w:rFonts w:ascii="Calibri" w:cs="Calibri" w:eastAsia="Calibri" w:hAnsi="Calibri"/>
                <w:sz w:val="20"/>
                <w:szCs w:val="20"/>
              </w:rPr>
              <w:t xml:space="preserve">Manajemen/Investor Platform</w:t>
            </w:r>
          </w:p>
        </w:tc>
        <w:tc>
          <w:tcPr>
            <w:tcW w:type="dxa" w:w="2800"/>
            <w:tcMar>
              <w:top w:type="dxa" w:w="80"/>
              <w:left w:type="dxa" w:w="100"/>
              <w:bottom w:type="dxa" w:w="80"/>
              <w:right w:type="dxa" w:w="100"/>
            </w:tcMar>
          </w:tcPr>
          <w:p>
            <w:r>
              <w:rPr>
                <w:rFonts w:ascii="Calibri" w:cs="Calibri" w:eastAsia="Calibri" w:hAnsi="Calibri"/>
                <w:sz w:val="20"/>
                <w:szCs w:val="20"/>
              </w:rPr>
              <w:t xml:space="preserve">Pemilik keputusan strategis &amp; pendanaan</w:t>
            </w:r>
          </w:p>
        </w:tc>
        <w:tc>
          <w:tcPr>
            <w:tcW w:type="dxa" w:w="3800"/>
            <w:tcMar>
              <w:top w:type="dxa" w:w="80"/>
              <w:left w:type="dxa" w:w="100"/>
              <w:bottom w:type="dxa" w:w="80"/>
              <w:right w:type="dxa" w:w="100"/>
            </w:tcMar>
          </w:tcPr>
          <w:p>
            <w:r>
              <w:rPr>
                <w:rFonts w:ascii="Calibri" w:cs="Calibri" w:eastAsia="Calibri" w:hAnsi="Calibri"/>
                <w:sz w:val="20"/>
                <w:szCs w:val="20"/>
              </w:rPr>
              <w:t xml:space="preserve">Profitabilitas, pertumbuhan pelanggan komersial, risiko reputasi terkendali</w:t>
            </w:r>
          </w:p>
        </w:tc>
      </w:tr>
      <w:tr>
        <w:tc>
          <w:tcPr>
            <w:tcW w:type="dxa" w:w="2700"/>
            <w:shd w:fill="F2EFE9" w:val="clear"/>
            <w:tcMar>
              <w:top w:type="dxa" w:w="80"/>
              <w:left w:type="dxa" w:w="100"/>
              <w:bottom w:type="dxa" w:w="80"/>
              <w:right w:type="dxa" w:w="100"/>
            </w:tcMar>
          </w:tcPr>
          <w:p>
            <w:r>
              <w:rPr>
                <w:rFonts w:ascii="Calibri" w:cs="Calibri" w:eastAsia="Calibri" w:hAnsi="Calibri"/>
                <w:sz w:val="20"/>
                <w:szCs w:val="20"/>
              </w:rPr>
              <w:t xml:space="preserve">Pelanggan AquaAlert (Petambak)</w:t>
            </w:r>
          </w:p>
        </w:tc>
        <w:tc>
          <w:tcPr>
            <w:tcW w:type="dxa" w:w="2800"/>
            <w:shd w:fill="F2EFE9" w:val="clear"/>
            <w:tcMar>
              <w:top w:type="dxa" w:w="80"/>
              <w:left w:type="dxa" w:w="100"/>
              <w:bottom w:type="dxa" w:w="80"/>
              <w:right w:type="dxa" w:w="100"/>
            </w:tcMar>
          </w:tcPr>
          <w:p>
            <w:r>
              <w:rPr>
                <w:rFonts w:ascii="Calibri" w:cs="Calibri" w:eastAsia="Calibri" w:hAnsi="Calibri"/>
                <w:sz w:val="20"/>
                <w:szCs w:val="20"/>
              </w:rPr>
              <w:t xml:space="preserve">Pengguna berbayar</w:t>
            </w:r>
          </w:p>
        </w:tc>
        <w:tc>
          <w:tcPr>
            <w:tcW w:type="dxa" w:w="3800"/>
            <w:shd w:fill="F2EFE9" w:val="clear"/>
            <w:tcMar>
              <w:top w:type="dxa" w:w="80"/>
              <w:left w:type="dxa" w:w="100"/>
              <w:bottom w:type="dxa" w:w="80"/>
              <w:right w:type="dxa" w:w="100"/>
            </w:tcMar>
          </w:tcPr>
          <w:p>
            <w:r>
              <w:rPr>
                <w:rFonts w:ascii="Calibri" w:cs="Calibri" w:eastAsia="Calibri" w:hAnsi="Calibri"/>
                <w:sz w:val="20"/>
                <w:szCs w:val="20"/>
              </w:rPr>
              <w:t xml:space="preserve">Keandalan dan kecepatan peringatan, harga terjangkau relatif terhadap risiko kerugian</w:t>
            </w:r>
          </w:p>
        </w:tc>
      </w:tr>
      <w:tr>
        <w:tc>
          <w:tcPr>
            <w:tcW w:type="dxa" w:w="2700"/>
            <w:tcMar>
              <w:top w:type="dxa" w:w="80"/>
              <w:left w:type="dxa" w:w="100"/>
              <w:bottom w:type="dxa" w:w="80"/>
              <w:right w:type="dxa" w:w="100"/>
            </w:tcMar>
          </w:tcPr>
          <w:p>
            <w:r>
              <w:rPr>
                <w:rFonts w:ascii="Calibri" w:cs="Calibri" w:eastAsia="Calibri" w:hAnsi="Calibri"/>
                <w:sz w:val="20"/>
                <w:szCs w:val="20"/>
              </w:rPr>
              <w:t xml:space="preserve">Pelanggan Hydro-AMDAL (Konsultan/Korporat)</w:t>
            </w:r>
          </w:p>
        </w:tc>
        <w:tc>
          <w:tcPr>
            <w:tcW w:type="dxa" w:w="2800"/>
            <w:tcMar>
              <w:top w:type="dxa" w:w="80"/>
              <w:left w:type="dxa" w:w="100"/>
              <w:bottom w:type="dxa" w:w="80"/>
              <w:right w:type="dxa" w:w="100"/>
            </w:tcMar>
          </w:tcPr>
          <w:p>
            <w:r>
              <w:rPr>
                <w:rFonts w:ascii="Calibri" w:cs="Calibri" w:eastAsia="Calibri" w:hAnsi="Calibri"/>
                <w:sz w:val="20"/>
                <w:szCs w:val="20"/>
              </w:rPr>
              <w:t xml:space="preserve">Pengguna berbayar</w:t>
            </w:r>
          </w:p>
        </w:tc>
        <w:tc>
          <w:tcPr>
            <w:tcW w:type="dxa" w:w="3800"/>
            <w:tcMar>
              <w:top w:type="dxa" w:w="80"/>
              <w:left w:type="dxa" w:w="100"/>
              <w:bottom w:type="dxa" w:w="80"/>
              <w:right w:type="dxa" w:w="100"/>
            </w:tcMar>
          </w:tcPr>
          <w:p>
            <w:r>
              <w:rPr>
                <w:rFonts w:ascii="Calibri" w:cs="Calibri" w:eastAsia="Calibri" w:hAnsi="Calibri"/>
                <w:sz w:val="20"/>
                <w:szCs w:val="20"/>
              </w:rPr>
              <w:t xml:space="preserve">Akurasi analisis, kepatuhan terhadap standar teknis, efisiensi waktu</w:t>
            </w:r>
          </w:p>
        </w:tc>
      </w:tr>
      <w:tr>
        <w:tc>
          <w:tcPr>
            <w:tcW w:type="dxa" w:w="2700"/>
            <w:shd w:fill="F2EFE9" w:val="clear"/>
            <w:tcMar>
              <w:top w:type="dxa" w:w="80"/>
              <w:left w:type="dxa" w:w="100"/>
              <w:bottom w:type="dxa" w:w="80"/>
              <w:right w:type="dxa" w:w="100"/>
            </w:tcMar>
          </w:tcPr>
          <w:p>
            <w:r>
              <w:rPr>
                <w:rFonts w:ascii="Calibri" w:cs="Calibri" w:eastAsia="Calibri" w:hAnsi="Calibri"/>
                <w:sz w:val="20"/>
                <w:szCs w:val="20"/>
              </w:rPr>
              <w:t xml:space="preserve">Masyarakat &amp; Petani</w:t>
            </w:r>
          </w:p>
        </w:tc>
        <w:tc>
          <w:tcPr>
            <w:tcW w:type="dxa" w:w="2800"/>
            <w:shd w:fill="F2EFE9" w:val="clear"/>
            <w:tcMar>
              <w:top w:type="dxa" w:w="80"/>
              <w:left w:type="dxa" w:w="100"/>
              <w:bottom w:type="dxa" w:w="80"/>
              <w:right w:type="dxa" w:w="100"/>
            </w:tcMar>
          </w:tcPr>
          <w:p>
            <w:r>
              <w:rPr>
                <w:rFonts w:ascii="Calibri" w:cs="Calibri" w:eastAsia="Calibri" w:hAnsi="Calibri"/>
                <w:sz w:val="20"/>
                <w:szCs w:val="20"/>
              </w:rPr>
              <w:t xml:space="preserve">Penerima manfaat publik (non-bayar)</w:t>
            </w:r>
          </w:p>
        </w:tc>
        <w:tc>
          <w:tcPr>
            <w:tcW w:type="dxa" w:w="3800"/>
            <w:shd w:fill="F2EFE9" w:val="clear"/>
            <w:tcMar>
              <w:top w:type="dxa" w:w="80"/>
              <w:left w:type="dxa" w:w="100"/>
              <w:bottom w:type="dxa" w:w="80"/>
              <w:right w:type="dxa" w:w="100"/>
            </w:tcMar>
          </w:tcPr>
          <w:p>
            <w:r>
              <w:rPr>
                <w:rFonts w:ascii="Calibri" w:cs="Calibri" w:eastAsia="Calibri" w:hAnsi="Calibri"/>
                <w:sz w:val="20"/>
                <w:szCs w:val="20"/>
              </w:rPr>
              <w:t xml:space="preserve">Akses gratis, informasi mudah dipahami, tanpa hambatan registrasi</w:t>
            </w:r>
          </w:p>
        </w:tc>
      </w:tr>
      <w:tr>
        <w:tc>
          <w:tcPr>
            <w:tcW w:type="dxa" w:w="2700"/>
            <w:tcMar>
              <w:top w:type="dxa" w:w="80"/>
              <w:left w:type="dxa" w:w="100"/>
              <w:bottom w:type="dxa" w:w="80"/>
              <w:right w:type="dxa" w:w="100"/>
            </w:tcMar>
          </w:tcPr>
          <w:p>
            <w:r>
              <w:rPr>
                <w:rFonts w:ascii="Calibri" w:cs="Calibri" w:eastAsia="Calibri" w:hAnsi="Calibri"/>
                <w:sz w:val="20"/>
                <w:szCs w:val="20"/>
              </w:rPr>
              <w:t xml:space="preserve">BBWS Citanduy</w:t>
            </w:r>
          </w:p>
        </w:tc>
        <w:tc>
          <w:tcPr>
            <w:tcW w:type="dxa" w:w="2800"/>
            <w:tcMar>
              <w:top w:type="dxa" w:w="80"/>
              <w:left w:type="dxa" w:w="100"/>
              <w:bottom w:type="dxa" w:w="80"/>
              <w:right w:type="dxa" w:w="100"/>
            </w:tcMar>
          </w:tcPr>
          <w:p>
            <w:r>
              <w:rPr>
                <w:rFonts w:ascii="Calibri" w:cs="Calibri" w:eastAsia="Calibri" w:hAnsi="Calibri"/>
                <w:sz w:val="20"/>
                <w:szCs w:val="20"/>
              </w:rPr>
              <w:t xml:space="preserve">Pemilik/penyedia data sumber</w:t>
            </w:r>
          </w:p>
        </w:tc>
        <w:tc>
          <w:tcPr>
            <w:tcW w:type="dxa" w:w="3800"/>
            <w:tcMar>
              <w:top w:type="dxa" w:w="80"/>
              <w:left w:type="dxa" w:w="100"/>
              <w:bottom w:type="dxa" w:w="80"/>
              <w:right w:type="dxa" w:w="100"/>
            </w:tcMar>
          </w:tcPr>
          <w:p>
            <w:r>
              <w:rPr>
                <w:rFonts w:ascii="Calibri" w:cs="Calibri" w:eastAsia="Calibri" w:hAnsi="Calibri"/>
                <w:sz w:val="20"/>
                <w:szCs w:val="20"/>
              </w:rPr>
              <w:t xml:space="preserve">Pemanfaatan data yang bertanggung jawab, atribusi sumber, potensi validasi silang</w:t>
            </w:r>
          </w:p>
        </w:tc>
      </w:tr>
      <w:tr>
        <w:tc>
          <w:tcPr>
            <w:tcW w:type="dxa" w:w="2700"/>
            <w:shd w:fill="F2EFE9" w:val="clear"/>
            <w:tcMar>
              <w:top w:type="dxa" w:w="80"/>
              <w:left w:type="dxa" w:w="100"/>
              <w:bottom w:type="dxa" w:w="80"/>
              <w:right w:type="dxa" w:w="100"/>
            </w:tcMar>
          </w:tcPr>
          <w:p>
            <w:r>
              <w:rPr>
                <w:rFonts w:ascii="Calibri" w:cs="Calibri" w:eastAsia="Calibri" w:hAnsi="Calibri"/>
                <w:sz w:val="20"/>
                <w:szCs w:val="20"/>
              </w:rPr>
              <w:t xml:space="preserve">BPBD Wilayah Terkait</w:t>
            </w:r>
          </w:p>
        </w:tc>
        <w:tc>
          <w:tcPr>
            <w:tcW w:type="dxa" w:w="2800"/>
            <w:shd w:fill="F2EFE9" w:val="clear"/>
            <w:tcMar>
              <w:top w:type="dxa" w:w="80"/>
              <w:left w:type="dxa" w:w="100"/>
              <w:bottom w:type="dxa" w:w="80"/>
              <w:right w:type="dxa" w:w="100"/>
            </w:tcMar>
          </w:tcPr>
          <w:p>
            <w:r>
              <w:rPr>
                <w:rFonts w:ascii="Calibri" w:cs="Calibri" w:eastAsia="Calibri" w:hAnsi="Calibri"/>
                <w:sz w:val="20"/>
                <w:szCs w:val="20"/>
              </w:rPr>
              <w:t xml:space="preserve">Mitra mitigasi bencana</w:t>
            </w:r>
          </w:p>
        </w:tc>
        <w:tc>
          <w:tcPr>
            <w:tcW w:type="dxa" w:w="3800"/>
            <w:shd w:fill="F2EFE9" w:val="clear"/>
            <w:tcMar>
              <w:top w:type="dxa" w:w="80"/>
              <w:left w:type="dxa" w:w="100"/>
              <w:bottom w:type="dxa" w:w="80"/>
              <w:right w:type="dxa" w:w="100"/>
            </w:tcMar>
          </w:tcPr>
          <w:p>
            <w:r>
              <w:rPr>
                <w:rFonts w:ascii="Calibri" w:cs="Calibri" w:eastAsia="Calibri" w:hAnsi="Calibri"/>
                <w:sz w:val="20"/>
                <w:szCs w:val="20"/>
              </w:rPr>
              <w:t xml:space="preserve">Data akurat dan tepat waktu untuk kesiapsiagaan bencana wilayah</w:t>
            </w:r>
          </w:p>
        </w:tc>
      </w:tr>
      <w:tr>
        <w:tc>
          <w:tcPr>
            <w:tcW w:type="dxa" w:w="2700"/>
            <w:tcMar>
              <w:top w:type="dxa" w:w="80"/>
              <w:left w:type="dxa" w:w="100"/>
              <w:bottom w:type="dxa" w:w="80"/>
              <w:right w:type="dxa" w:w="100"/>
            </w:tcMar>
          </w:tcPr>
          <w:p>
            <w:r>
              <w:rPr>
                <w:rFonts w:ascii="Calibri" w:cs="Calibri" w:eastAsia="Calibri" w:hAnsi="Calibri"/>
                <w:sz w:val="20"/>
                <w:szCs w:val="20"/>
              </w:rPr>
              <w:t xml:space="preserve">Tim Produk &amp; Rekayasa</w:t>
            </w:r>
          </w:p>
        </w:tc>
        <w:tc>
          <w:tcPr>
            <w:tcW w:type="dxa" w:w="2800"/>
            <w:tcMar>
              <w:top w:type="dxa" w:w="80"/>
              <w:left w:type="dxa" w:w="100"/>
              <w:bottom w:type="dxa" w:w="80"/>
              <w:right w:type="dxa" w:w="100"/>
            </w:tcMar>
          </w:tcPr>
          <w:p>
            <w:r>
              <w:rPr>
                <w:rFonts w:ascii="Calibri" w:cs="Calibri" w:eastAsia="Calibri" w:hAnsi="Calibri"/>
                <w:sz w:val="20"/>
                <w:szCs w:val="20"/>
              </w:rPr>
              <w:t xml:space="preserve">Pelaksana pengembangan</w:t>
            </w:r>
          </w:p>
        </w:tc>
        <w:tc>
          <w:tcPr>
            <w:tcW w:type="dxa" w:w="3800"/>
            <w:tcMar>
              <w:top w:type="dxa" w:w="80"/>
              <w:left w:type="dxa" w:w="100"/>
              <w:bottom w:type="dxa" w:w="80"/>
              <w:right w:type="dxa" w:w="100"/>
            </w:tcMar>
          </w:tcPr>
          <w:p>
            <w:r>
              <w:rPr>
                <w:rFonts w:ascii="Calibri" w:cs="Calibri" w:eastAsia="Calibri" w:hAnsi="Calibri"/>
                <w:sz w:val="20"/>
                <w:szCs w:val="20"/>
              </w:rPr>
              <w:t xml:space="preserve">Kejelasan kebutuhan, kelayakan teknis, prioritas yang realistis</w:t>
            </w:r>
          </w:p>
        </w:tc>
      </w:tr>
    </w:tbl>
    <w:p>
      <w:pPr>
        <w:pStyle w:val="Heading1"/>
        <w:pBdr>
          <w:bottom w:val="single" w:color="1B3A4B" w:sz="6" w:space="4"/>
        </w:pBdr>
        <w:spacing w:after="200" w:before="400"/>
      </w:pPr>
      <w:r>
        <w:rPr>
          <w:rFonts w:ascii="Georgia" w:cs="Georgia" w:eastAsia="Georgia" w:hAnsi="Georgia"/>
          <w:b/>
          <w:bCs/>
          <w:color w:val="1B3A4B"/>
          <w:sz w:val="32"/>
          <w:szCs w:val="32"/>
        </w:rPr>
        <w:t xml:space="preserve">5. Model Bisnis: Tri-Pillar Monetization</w:t>
      </w:r>
    </w:p>
    <w:p>
      <w:pPr>
        <w:spacing w:after="160" w:line="300"/>
      </w:pPr>
      <w:r>
        <w:rPr>
          <w:rFonts w:ascii="Calibri" w:cs="Calibri" w:eastAsia="Calibri" w:hAnsi="Calibri"/>
          <w:sz w:val="22"/>
          <w:szCs w:val="22"/>
        </w:rPr>
        <w:t xml:space="preserve">Model bisnis mengoperasikan tiga pilar layanan di atas satu pipa data terpusat, dengan Pilar 1 dan 2 menanggung seluruh beban operasional (server, basis data, komputasi AI) agar Pilar 3 dapat disediakan gratis tanpa hambatan kepada masyarakat.</w:t>
      </w:r>
    </w:p>
    <w:p>
      <w:pPr>
        <w:pStyle w:val="Heading2"/>
        <w:spacing w:after="150" w:before="300"/>
      </w:pPr>
      <w:r>
        <w:rPr>
          <w:rFonts w:ascii="Georgia" w:cs="Georgia" w:eastAsia="Georgia" w:hAnsi="Georgia"/>
          <w:b/>
          <w:bCs/>
          <w:color w:val="1B3A4B"/>
          <w:sz w:val="26"/>
          <w:szCs w:val="26"/>
        </w:rPr>
        <w:t xml:space="preserve">5.1 Pilar 1 — AquaAlert (Akuakultur Pesisir)</w:t>
      </w:r>
    </w:p>
    <w:p>
      <w:pPr>
        <w:pStyle w:val="ListParagraph"/>
        <w:numPr>
          <w:ilvl w:val="0"/>
          <w:numId w:val="2"/>
        </w:numPr>
        <w:spacing w:after="90"/>
      </w:pPr>
      <w:r>
        <w:rPr>
          <w:rFonts w:ascii="Calibri" w:cs="Calibri" w:eastAsia="Calibri" w:hAnsi="Calibri"/>
          <w:sz w:val="22"/>
          <w:szCs w:val="22"/>
        </w:rPr>
        <w:t xml:space="preserve">Target pasar: pengusaha tambak udang vaname dan bandeng intensif di muara Citanduy (Cilacap dan Pangandaran).</w:t>
      </w:r>
    </w:p>
    <w:p>
      <w:pPr>
        <w:pStyle w:val="ListParagraph"/>
        <w:numPr>
          <w:ilvl w:val="0"/>
          <w:numId w:val="2"/>
        </w:numPr>
        <w:spacing w:after="90"/>
      </w:pPr>
      <w:r>
        <w:rPr>
          <w:rFonts w:ascii="Calibri" w:cs="Calibri" w:eastAsia="Calibri" w:hAnsi="Calibri"/>
          <w:sz w:val="22"/>
          <w:szCs w:val="22"/>
        </w:rPr>
        <w:t xml:space="preserve">Proposisi nilai: peringatan dini 12–24 jam sebelum penurunan salinitas/lonjakan debit sungai via WhatsApp dan SMS gateway.</w:t>
      </w:r>
    </w:p>
    <w:p>
      <w:pPr>
        <w:pStyle w:val="ListParagraph"/>
        <w:numPr>
          <w:ilvl w:val="0"/>
          <w:numId w:val="2"/>
        </w:numPr>
        <w:spacing w:after="90"/>
      </w:pPr>
      <w:r>
        <w:rPr>
          <w:rFonts w:ascii="Calibri" w:cs="Calibri" w:eastAsia="Calibri" w:hAnsi="Calibri"/>
          <w:sz w:val="22"/>
          <w:szCs w:val="22"/>
        </w:rPr>
        <w:t xml:space="preserve">Model harga: langganan SaaS berbasis kuota kolam, Rp500.000–Rp1.500.000 per bulan per lokasi usaha.</w:t>
      </w:r>
    </w:p>
    <w:p>
      <w:pPr>
        <w:pStyle w:val="Heading2"/>
        <w:spacing w:after="150" w:before="300"/>
      </w:pPr>
      <w:r>
        <w:rPr>
          <w:rFonts w:ascii="Georgia" w:cs="Georgia" w:eastAsia="Georgia" w:hAnsi="Georgia"/>
          <w:b/>
          <w:bCs/>
          <w:color w:val="1B3A4B"/>
          <w:sz w:val="26"/>
          <w:szCs w:val="26"/>
        </w:rPr>
        <w:t xml:space="preserve">5.2 Pilar 2 — Hydro-AMDAL Engine (Korporat &amp; Konsultan)</w:t>
      </w:r>
    </w:p>
    <w:p>
      <w:pPr>
        <w:pStyle w:val="ListParagraph"/>
        <w:numPr>
          <w:ilvl w:val="0"/>
          <w:numId w:val="2"/>
        </w:numPr>
        <w:spacing w:after="90"/>
      </w:pPr>
      <w:r>
        <w:rPr>
          <w:rFonts w:ascii="Calibri" w:cs="Calibri" w:eastAsia="Calibri" w:hAnsi="Calibri"/>
          <w:sz w:val="22"/>
          <w:szCs w:val="22"/>
        </w:rPr>
        <w:t xml:space="preserve">Target pasar: konsultan lingkungan hidup, konsultan rekayasa sipil, dan divisi HSE kawasan industri.</w:t>
      </w:r>
    </w:p>
    <w:p>
      <w:pPr>
        <w:pStyle w:val="ListParagraph"/>
        <w:numPr>
          <w:ilvl w:val="0"/>
          <w:numId w:val="2"/>
        </w:numPr>
        <w:spacing w:after="90"/>
      </w:pPr>
      <w:r>
        <w:rPr>
          <w:rFonts w:ascii="Calibri" w:cs="Calibri" w:eastAsia="Calibri" w:hAnsi="Calibri"/>
          <w:sz w:val="22"/>
          <w:szCs w:val="22"/>
        </w:rPr>
        <w:t xml:space="preserve">Proposisi nilai: otomasi analisis frekuensi (Gumbel, Log-Pearson III) dan draf laporan hidrologi siap ekspor, menggantikan puluhan jam kerja manual.</w:t>
      </w:r>
    </w:p>
    <w:p>
      <w:pPr>
        <w:pStyle w:val="ListParagraph"/>
        <w:numPr>
          <w:ilvl w:val="0"/>
          <w:numId w:val="2"/>
        </w:numPr>
        <w:spacing w:after="90"/>
      </w:pPr>
      <w:r>
        <w:rPr>
          <w:rFonts w:ascii="Calibri" w:cs="Calibri" w:eastAsia="Calibri" w:hAnsi="Calibri"/>
          <w:sz w:val="22"/>
          <w:szCs w:val="22"/>
        </w:rPr>
        <w:t xml:space="preserve">Model harga: lisensi tahunan korporat Rp20.000.000–Rp50.000.000/tahun, atau pay-per-project Rp3.000.000–Rp7.500.000 per unduhan laporan lengkap.</w:t>
      </w:r>
    </w:p>
    <w:p>
      <w:pPr>
        <w:pStyle w:val="Heading2"/>
        <w:spacing w:after="150" w:before="300"/>
      </w:pPr>
      <w:r>
        <w:rPr>
          <w:rFonts w:ascii="Georgia" w:cs="Georgia" w:eastAsia="Georgia" w:hAnsi="Georgia"/>
          <w:b/>
          <w:bCs/>
          <w:color w:val="1B3A4B"/>
          <w:sz w:val="26"/>
          <w:szCs w:val="26"/>
        </w:rPr>
        <w:t xml:space="preserve">5.3 Pilar 3 — Layanan Publik 3-in-1 (Bebas Biaya)</w:t>
      </w:r>
    </w:p>
    <w:p>
      <w:pPr>
        <w:pStyle w:val="ListParagraph"/>
        <w:numPr>
          <w:ilvl w:val="0"/>
          <w:numId w:val="2"/>
        </w:numPr>
        <w:spacing w:after="90"/>
      </w:pPr>
      <w:r>
        <w:rPr>
          <w:rFonts w:ascii="Calibri" w:cs="Calibri" w:eastAsia="Calibri" w:hAnsi="Calibri"/>
          <w:sz w:val="22"/>
          <w:szCs w:val="22"/>
        </w:rPr>
        <w:t xml:space="preserve">Peta pantau banjir, kalender cuaca tani mikro, dan kanal pelaporan warga — seluruhnya gratis dan tanpa registrasi rumit.</w:t>
      </w:r>
    </w:p>
    <w:p>
      <w:pPr>
        <w:pStyle w:val="ListParagraph"/>
        <w:numPr>
          <w:ilvl w:val="0"/>
          <w:numId w:val="2"/>
        </w:numPr>
        <w:spacing w:after="90"/>
      </w:pPr>
      <w:r>
        <w:rPr>
          <w:rFonts w:ascii="Calibri" w:cs="Calibri" w:eastAsia="Calibri" w:hAnsi="Calibri"/>
          <w:sz w:val="22"/>
          <w:szCs w:val="22"/>
        </w:rPr>
        <w:t xml:space="preserve">Berfungsi sebagai pembangun kepercayaan komunitas dan legitimasi sosial platform, sekaligus sumber data citizen science yang memperkaya model.</w:t>
      </w:r>
    </w:p>
    <w:p>
      <w:pPr>
        <w:pStyle w:val="Heading1"/>
        <w:pBdr>
          <w:bottom w:val="single" w:color="1B3A4B" w:sz="6" w:space="4"/>
        </w:pBdr>
        <w:spacing w:after="200" w:before="400"/>
      </w:pPr>
      <w:r>
        <w:rPr>
          <w:rFonts w:ascii="Georgia" w:cs="Georgia" w:eastAsia="Georgia" w:hAnsi="Georgia"/>
          <w:b/>
          <w:bCs/>
          <w:color w:val="1B3A4B"/>
          <w:sz w:val="32"/>
          <w:szCs w:val="32"/>
        </w:rPr>
        <w:t xml:space="preserve">6. Kebutuhan Bisnis (Business Requirements)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300"/>
        <w:gridCol w:w="4400"/>
        <w:gridCol w:w="3400"/>
      </w:tblGrid>
      <w:tr>
        <w:trPr>
          <w:tblHeader/>
        </w:trPr>
        <w:tc>
          <w:tcPr>
            <w:tcW w:type="dxa" w:w="1300"/>
            <w:shd w:fill="1B3A4B" w:val="clear"/>
            <w:tcMar>
              <w:top w:type="dxa" w:w="80"/>
              <w:left w:type="dxa" w:w="100"/>
              <w:bottom w:type="dxa" w:w="80"/>
              <w:right w:type="dxa" w:w="100"/>
            </w:tcMar>
          </w:tcPr>
          <w:p>
            <w:r>
              <w:rPr>
                <w:rFonts w:ascii="Calibri" w:cs="Calibri" w:eastAsia="Calibri" w:hAnsi="Calibri"/>
                <w:b/>
                <w:bCs/>
                <w:color w:val="FFFFFF"/>
                <w:sz w:val="20"/>
                <w:szCs w:val="20"/>
              </w:rPr>
              <w:t xml:space="preserve">ID</w:t>
            </w:r>
          </w:p>
        </w:tc>
        <w:tc>
          <w:tcPr>
            <w:tcW w:type="dxa" w:w="4400"/>
            <w:shd w:fill="1B3A4B" w:val="clear"/>
            <w:tcMar>
              <w:top w:type="dxa" w:w="80"/>
              <w:left w:type="dxa" w:w="100"/>
              <w:bottom w:type="dxa" w:w="80"/>
              <w:right w:type="dxa" w:w="100"/>
            </w:tcMar>
          </w:tcPr>
          <w:p>
            <w:r>
              <w:rPr>
                <w:rFonts w:ascii="Calibri" w:cs="Calibri" w:eastAsia="Calibri" w:hAnsi="Calibri"/>
                <w:b/>
                <w:bCs/>
                <w:color w:val="FFFFFF"/>
                <w:sz w:val="20"/>
                <w:szCs w:val="20"/>
              </w:rPr>
              <w:t xml:space="preserve">Kebutuhan Bisnis</w:t>
            </w:r>
          </w:p>
        </w:tc>
        <w:tc>
          <w:tcPr>
            <w:tcW w:type="dxa" w:w="3400"/>
            <w:shd w:fill="1B3A4B" w:val="clear"/>
            <w:tcMar>
              <w:top w:type="dxa" w:w="80"/>
              <w:left w:type="dxa" w:w="100"/>
              <w:bottom w:type="dxa" w:w="80"/>
              <w:right w:type="dxa" w:w="100"/>
            </w:tcMar>
          </w:tcPr>
          <w:p>
            <w:r>
              <w:rPr>
                <w:rFonts w:ascii="Calibri" w:cs="Calibri" w:eastAsia="Calibri" w:hAnsi="Calibri"/>
                <w:b/>
                <w:bCs/>
                <w:color w:val="FFFFFF"/>
                <w:sz w:val="20"/>
                <w:szCs w:val="20"/>
              </w:rPr>
              <w:t xml:space="preserve">Justifikasi</w:t>
            </w:r>
          </w:p>
        </w:tc>
      </w:tr>
      <w:tr>
        <w:tc>
          <w:tcPr>
            <w:tcW w:type="dxa" w:w="1300"/>
            <w:tcMar>
              <w:top w:type="dxa" w:w="80"/>
              <w:left w:type="dxa" w:w="100"/>
              <w:bottom w:type="dxa" w:w="80"/>
              <w:right w:type="dxa" w:w="100"/>
            </w:tcMar>
          </w:tcPr>
          <w:p>
            <w:r>
              <w:rPr>
                <w:rFonts w:ascii="Calibri" w:cs="Calibri" w:eastAsia="Calibri" w:hAnsi="Calibri"/>
                <w:sz w:val="20"/>
                <w:szCs w:val="20"/>
              </w:rPr>
              <w:t xml:space="preserve">BR-01</w:t>
            </w:r>
          </w:p>
        </w:tc>
        <w:tc>
          <w:tcPr>
            <w:tcW w:type="dxa" w:w="4400"/>
            <w:tcMar>
              <w:top w:type="dxa" w:w="80"/>
              <w:left w:type="dxa" w:w="100"/>
              <w:bottom w:type="dxa" w:w="80"/>
              <w:right w:type="dxa" w:w="100"/>
            </w:tcMar>
          </w:tcPr>
          <w:p>
            <w:r>
              <w:rPr>
                <w:rFonts w:ascii="Calibri" w:cs="Calibri" w:eastAsia="Calibri" w:hAnsi="Calibri"/>
                <w:sz w:val="20"/>
                <w:szCs w:val="20"/>
              </w:rPr>
              <w:t xml:space="preserve">Platform harus mampu menghasilkan pendapatan berulang (recurring revenue) dari langganan AquaAlert.</w:t>
            </w:r>
          </w:p>
        </w:tc>
        <w:tc>
          <w:tcPr>
            <w:tcW w:type="dxa" w:w="3400"/>
            <w:tcMar>
              <w:top w:type="dxa" w:w="80"/>
              <w:left w:type="dxa" w:w="100"/>
              <w:bottom w:type="dxa" w:w="80"/>
              <w:right w:type="dxa" w:w="100"/>
            </w:tcMar>
          </w:tcPr>
          <w:p>
            <w:r>
              <w:rPr>
                <w:rFonts w:ascii="Calibri" w:cs="Calibri" w:eastAsia="Calibri" w:hAnsi="Calibri"/>
                <w:sz w:val="20"/>
                <w:szCs w:val="20"/>
              </w:rPr>
              <w:t xml:space="preserve">Menjamin arus kas stabil untuk menopang biaya operasional dan subsidi silang.</w:t>
            </w:r>
          </w:p>
        </w:tc>
      </w:tr>
      <w:tr>
        <w:tc>
          <w:tcPr>
            <w:tcW w:type="dxa" w:w="1300"/>
            <w:shd w:fill="F2EFE9" w:val="clear"/>
            <w:tcMar>
              <w:top w:type="dxa" w:w="80"/>
              <w:left w:type="dxa" w:w="100"/>
              <w:bottom w:type="dxa" w:w="80"/>
              <w:right w:type="dxa" w:w="100"/>
            </w:tcMar>
          </w:tcPr>
          <w:p>
            <w:r>
              <w:rPr>
                <w:rFonts w:ascii="Calibri" w:cs="Calibri" w:eastAsia="Calibri" w:hAnsi="Calibri"/>
                <w:sz w:val="20"/>
                <w:szCs w:val="20"/>
              </w:rPr>
              <w:t xml:space="preserve">BR-02</w:t>
            </w:r>
          </w:p>
        </w:tc>
        <w:tc>
          <w:tcPr>
            <w:tcW w:type="dxa" w:w="4400"/>
            <w:shd w:fill="F2EFE9" w:val="clear"/>
            <w:tcMar>
              <w:top w:type="dxa" w:w="80"/>
              <w:left w:type="dxa" w:w="100"/>
              <w:bottom w:type="dxa" w:w="80"/>
              <w:right w:type="dxa" w:w="100"/>
            </w:tcMar>
          </w:tcPr>
          <w:p>
            <w:r>
              <w:rPr>
                <w:rFonts w:ascii="Calibri" w:cs="Calibri" w:eastAsia="Calibri" w:hAnsi="Calibri"/>
                <w:sz w:val="20"/>
                <w:szCs w:val="20"/>
              </w:rPr>
              <w:t xml:space="preserve">Platform harus mendukung dua skema harga fleksibel pada Hydro-AMDAL (lisensi tahunan dan pay-per-project).</w:t>
            </w:r>
          </w:p>
        </w:tc>
        <w:tc>
          <w:tcPr>
            <w:tcW w:type="dxa" w:w="3400"/>
            <w:shd w:fill="F2EFE9" w:val="clear"/>
            <w:tcMar>
              <w:top w:type="dxa" w:w="80"/>
              <w:left w:type="dxa" w:w="100"/>
              <w:bottom w:type="dxa" w:w="80"/>
              <w:right w:type="dxa" w:w="100"/>
            </w:tcMar>
          </w:tcPr>
          <w:p>
            <w:r>
              <w:rPr>
                <w:rFonts w:ascii="Calibri" w:cs="Calibri" w:eastAsia="Calibri" w:hAnsi="Calibri"/>
                <w:sz w:val="20"/>
                <w:szCs w:val="20"/>
              </w:rPr>
              <w:t xml:space="preserve">Mengakomodasi korporat besar (lisensi) maupun kebutuhan proyek tunggal konsultan independen.</w:t>
            </w:r>
          </w:p>
        </w:tc>
      </w:tr>
      <w:tr>
        <w:tc>
          <w:tcPr>
            <w:tcW w:type="dxa" w:w="1300"/>
            <w:tcMar>
              <w:top w:type="dxa" w:w="80"/>
              <w:left w:type="dxa" w:w="100"/>
              <w:bottom w:type="dxa" w:w="80"/>
              <w:right w:type="dxa" w:w="100"/>
            </w:tcMar>
          </w:tcPr>
          <w:p>
            <w:r>
              <w:rPr>
                <w:rFonts w:ascii="Calibri" w:cs="Calibri" w:eastAsia="Calibri" w:hAnsi="Calibri"/>
                <w:sz w:val="20"/>
                <w:szCs w:val="20"/>
              </w:rPr>
              <w:t xml:space="preserve">BR-03</w:t>
            </w:r>
          </w:p>
        </w:tc>
        <w:tc>
          <w:tcPr>
            <w:tcW w:type="dxa" w:w="4400"/>
            <w:tcMar>
              <w:top w:type="dxa" w:w="80"/>
              <w:left w:type="dxa" w:w="100"/>
              <w:bottom w:type="dxa" w:w="80"/>
              <w:right w:type="dxa" w:w="100"/>
            </w:tcMar>
          </w:tcPr>
          <w:p>
            <w:r>
              <w:rPr>
                <w:rFonts w:ascii="Calibri" w:cs="Calibri" w:eastAsia="Calibri" w:hAnsi="Calibri"/>
                <w:sz w:val="20"/>
                <w:szCs w:val="20"/>
              </w:rPr>
              <w:t xml:space="preserve">Layanan publik tidak boleh memiliki hambatan biaya atau registrasi wajib.</w:t>
            </w:r>
          </w:p>
        </w:tc>
        <w:tc>
          <w:tcPr>
            <w:tcW w:type="dxa" w:w="3400"/>
            <w:tcMar>
              <w:top w:type="dxa" w:w="80"/>
              <w:left w:type="dxa" w:w="100"/>
              <w:bottom w:type="dxa" w:w="80"/>
              <w:right w:type="dxa" w:w="100"/>
            </w:tcMar>
          </w:tcPr>
          <w:p>
            <w:r>
              <w:rPr>
                <w:rFonts w:ascii="Calibri" w:cs="Calibri" w:eastAsia="Calibri" w:hAnsi="Calibri"/>
                <w:sz w:val="20"/>
                <w:szCs w:val="20"/>
              </w:rPr>
              <w:t xml:space="preserve">Menjaga misi dampak sosial dan legitimasi program sebagai layanan publik BBWS.</w:t>
            </w:r>
          </w:p>
        </w:tc>
      </w:tr>
      <w:tr>
        <w:tc>
          <w:tcPr>
            <w:tcW w:type="dxa" w:w="1300"/>
            <w:shd w:fill="F2EFE9" w:val="clear"/>
            <w:tcMar>
              <w:top w:type="dxa" w:w="80"/>
              <w:left w:type="dxa" w:w="100"/>
              <w:bottom w:type="dxa" w:w="80"/>
              <w:right w:type="dxa" w:w="100"/>
            </w:tcMar>
          </w:tcPr>
          <w:p>
            <w:r>
              <w:rPr>
                <w:rFonts w:ascii="Calibri" w:cs="Calibri" w:eastAsia="Calibri" w:hAnsi="Calibri"/>
                <w:sz w:val="20"/>
                <w:szCs w:val="20"/>
              </w:rPr>
              <w:t xml:space="preserve">BR-04</w:t>
            </w:r>
          </w:p>
        </w:tc>
        <w:tc>
          <w:tcPr>
            <w:tcW w:type="dxa" w:w="4400"/>
            <w:shd w:fill="F2EFE9" w:val="clear"/>
            <w:tcMar>
              <w:top w:type="dxa" w:w="80"/>
              <w:left w:type="dxa" w:w="100"/>
              <w:bottom w:type="dxa" w:w="80"/>
              <w:right w:type="dxa" w:w="100"/>
            </w:tcMar>
          </w:tcPr>
          <w:p>
            <w:r>
              <w:rPr>
                <w:rFonts w:ascii="Calibri" w:cs="Calibri" w:eastAsia="Calibri" w:hAnsi="Calibri"/>
                <w:sz w:val="20"/>
                <w:szCs w:val="20"/>
              </w:rPr>
              <w:t xml:space="preserve">Satu pipa data terpusat harus melayani ketiga pilar tanpa duplikasi infrastruktur.</w:t>
            </w:r>
          </w:p>
        </w:tc>
        <w:tc>
          <w:tcPr>
            <w:tcW w:type="dxa" w:w="3400"/>
            <w:shd w:fill="F2EFE9" w:val="clear"/>
            <w:tcMar>
              <w:top w:type="dxa" w:w="80"/>
              <w:left w:type="dxa" w:w="100"/>
              <w:bottom w:type="dxa" w:w="80"/>
              <w:right w:type="dxa" w:w="100"/>
            </w:tcMar>
          </w:tcPr>
          <w:p>
            <w:r>
              <w:rPr>
                <w:rFonts w:ascii="Calibri" w:cs="Calibri" w:eastAsia="Calibri" w:hAnsi="Calibri"/>
                <w:sz w:val="20"/>
                <w:szCs w:val="20"/>
              </w:rPr>
              <w:t xml:space="preserve">Efisiensi biaya operasional server, basis data, dan komputasi AI.</w:t>
            </w:r>
          </w:p>
        </w:tc>
      </w:tr>
      <w:tr>
        <w:tc>
          <w:tcPr>
            <w:tcW w:type="dxa" w:w="1300"/>
            <w:tcMar>
              <w:top w:type="dxa" w:w="80"/>
              <w:left w:type="dxa" w:w="100"/>
              <w:bottom w:type="dxa" w:w="80"/>
              <w:right w:type="dxa" w:w="100"/>
            </w:tcMar>
          </w:tcPr>
          <w:p>
            <w:r>
              <w:rPr>
                <w:rFonts w:ascii="Calibri" w:cs="Calibri" w:eastAsia="Calibri" w:hAnsi="Calibri"/>
                <w:sz w:val="20"/>
                <w:szCs w:val="20"/>
              </w:rPr>
              <w:t xml:space="preserve">BR-05</w:t>
            </w:r>
          </w:p>
        </w:tc>
        <w:tc>
          <w:tcPr>
            <w:tcW w:type="dxa" w:w="4400"/>
            <w:tcMar>
              <w:top w:type="dxa" w:w="80"/>
              <w:left w:type="dxa" w:w="100"/>
              <w:bottom w:type="dxa" w:w="80"/>
              <w:right w:type="dxa" w:w="100"/>
            </w:tcMar>
          </w:tcPr>
          <w:p>
            <w:r>
              <w:rPr>
                <w:rFonts w:ascii="Calibri" w:cs="Calibri" w:eastAsia="Calibri" w:hAnsi="Calibri"/>
                <w:sz w:val="20"/>
                <w:szCs w:val="20"/>
              </w:rPr>
              <w:t xml:space="preserve">Platform harus dapat menunjukkan validitas dan akurasi data untuk keperluan kepatuhan AMDAL korporat.</w:t>
            </w:r>
          </w:p>
        </w:tc>
        <w:tc>
          <w:tcPr>
            <w:tcW w:type="dxa" w:w="3400"/>
            <w:tcMar>
              <w:top w:type="dxa" w:w="80"/>
              <w:left w:type="dxa" w:w="100"/>
              <w:bottom w:type="dxa" w:w="80"/>
              <w:right w:type="dxa" w:w="100"/>
            </w:tcMar>
          </w:tcPr>
          <w:p>
            <w:r>
              <w:rPr>
                <w:rFonts w:ascii="Calibri" w:cs="Calibri" w:eastAsia="Calibri" w:hAnsi="Calibri"/>
                <w:sz w:val="20"/>
                <w:szCs w:val="20"/>
              </w:rPr>
              <w:t xml:space="preserve">Kepercayaan pelanggan B2B bergantung pada keandalan data untuk dokumen legal/kepatuhan.</w:t>
            </w:r>
          </w:p>
        </w:tc>
      </w:tr>
      <w:tr>
        <w:tc>
          <w:tcPr>
            <w:tcW w:type="dxa" w:w="1300"/>
            <w:shd w:fill="F2EFE9" w:val="clear"/>
            <w:tcMar>
              <w:top w:type="dxa" w:w="80"/>
              <w:left w:type="dxa" w:w="100"/>
              <w:bottom w:type="dxa" w:w="80"/>
              <w:right w:type="dxa" w:w="100"/>
            </w:tcMar>
          </w:tcPr>
          <w:p>
            <w:r>
              <w:rPr>
                <w:rFonts w:ascii="Calibri" w:cs="Calibri" w:eastAsia="Calibri" w:hAnsi="Calibri"/>
                <w:sz w:val="20"/>
                <w:szCs w:val="20"/>
              </w:rPr>
              <w:t xml:space="preserve">BR-06</w:t>
            </w:r>
          </w:p>
        </w:tc>
        <w:tc>
          <w:tcPr>
            <w:tcW w:type="dxa" w:w="4400"/>
            <w:shd w:fill="F2EFE9" w:val="clear"/>
            <w:tcMar>
              <w:top w:type="dxa" w:w="80"/>
              <w:left w:type="dxa" w:w="100"/>
              <w:bottom w:type="dxa" w:w="80"/>
              <w:right w:type="dxa" w:w="100"/>
            </w:tcMar>
          </w:tcPr>
          <w:p>
            <w:r>
              <w:rPr>
                <w:rFonts w:ascii="Calibri" w:cs="Calibri" w:eastAsia="Calibri" w:hAnsi="Calibri"/>
                <w:sz w:val="20"/>
                <w:szCs w:val="20"/>
              </w:rPr>
              <w:t xml:space="preserve">Platform harus membangun kemitraan formal dengan BBWS Citanduy dan BPBD.</w:t>
            </w:r>
          </w:p>
        </w:tc>
        <w:tc>
          <w:tcPr>
            <w:tcW w:type="dxa" w:w="3400"/>
            <w:shd w:fill="F2EFE9" w:val="clear"/>
            <w:tcMar>
              <w:top w:type="dxa" w:w="80"/>
              <w:left w:type="dxa" w:w="100"/>
              <w:bottom w:type="dxa" w:w="80"/>
              <w:right w:type="dxa" w:w="100"/>
            </w:tcMar>
          </w:tcPr>
          <w:p>
            <w:r>
              <w:rPr>
                <w:rFonts w:ascii="Calibri" w:cs="Calibri" w:eastAsia="Calibri" w:hAnsi="Calibri"/>
                <w:sz w:val="20"/>
                <w:szCs w:val="20"/>
              </w:rPr>
              <w:t xml:space="preserve">Legitimasi sumber data, potensi validasi silang, dan dukungan distribusi informasi mitigasi bencana.</w:t>
            </w:r>
          </w:p>
        </w:tc>
      </w:tr>
      <w:tr>
        <w:tc>
          <w:tcPr>
            <w:tcW w:type="dxa" w:w="1300"/>
            <w:tcMar>
              <w:top w:type="dxa" w:w="80"/>
              <w:left w:type="dxa" w:w="100"/>
              <w:bottom w:type="dxa" w:w="80"/>
              <w:right w:type="dxa" w:w="100"/>
            </w:tcMar>
          </w:tcPr>
          <w:p>
            <w:r>
              <w:rPr>
                <w:rFonts w:ascii="Calibri" w:cs="Calibri" w:eastAsia="Calibri" w:hAnsi="Calibri"/>
                <w:sz w:val="20"/>
                <w:szCs w:val="20"/>
              </w:rPr>
              <w:t xml:space="preserve">BR-07</w:t>
            </w:r>
          </w:p>
        </w:tc>
        <w:tc>
          <w:tcPr>
            <w:tcW w:type="dxa" w:w="4400"/>
            <w:tcMar>
              <w:top w:type="dxa" w:w="80"/>
              <w:left w:type="dxa" w:w="100"/>
              <w:bottom w:type="dxa" w:w="80"/>
              <w:right w:type="dxa" w:w="100"/>
            </w:tcMar>
          </w:tcPr>
          <w:p>
            <w:r>
              <w:rPr>
                <w:rFonts w:ascii="Calibri" w:cs="Calibri" w:eastAsia="Calibri" w:hAnsi="Calibri"/>
                <w:sz w:val="20"/>
                <w:szCs w:val="20"/>
              </w:rPr>
              <w:t xml:space="preserve">Model bisnis harus tetap berjalan meski volume pengguna publik meningkat signifikan tanpa pendapatan langsung.</w:t>
            </w:r>
          </w:p>
        </w:tc>
        <w:tc>
          <w:tcPr>
            <w:tcW w:type="dxa" w:w="3400"/>
            <w:tcMar>
              <w:top w:type="dxa" w:w="80"/>
              <w:left w:type="dxa" w:w="100"/>
              <w:bottom w:type="dxa" w:w="80"/>
              <w:right w:type="dxa" w:w="100"/>
            </w:tcMar>
          </w:tcPr>
          <w:p>
            <w:r>
              <w:rPr>
                <w:rFonts w:ascii="Calibri" w:cs="Calibri" w:eastAsia="Calibri" w:hAnsi="Calibri"/>
                <w:sz w:val="20"/>
                <w:szCs w:val="20"/>
              </w:rPr>
              <w:t xml:space="preserve">Menjamin keberlanjutan subsidi silang pada skala besar.</w:t>
            </w:r>
          </w:p>
        </w:tc>
      </w:tr>
    </w:tbl>
    <w:p>
      <w:pPr>
        <w:pStyle w:val="Heading1"/>
        <w:pBdr>
          <w:bottom w:val="single" w:color="1B3A4B" w:sz="6" w:space="4"/>
        </w:pBdr>
        <w:spacing w:after="200" w:before="400"/>
      </w:pPr>
      <w:r>
        <w:rPr>
          <w:rFonts w:ascii="Georgia" w:cs="Georgia" w:eastAsia="Georgia" w:hAnsi="Georgia"/>
          <w:b/>
          <w:bCs/>
          <w:color w:val="1B3A4B"/>
          <w:sz w:val="32"/>
          <w:szCs w:val="32"/>
        </w:rPr>
        <w:t xml:space="preserve">7. Proyeksi Pendapatan Indikatif (Ilustratif)</w:t>
      </w:r>
    </w:p>
    <w:p>
      <w:pPr>
        <w:spacing w:after="160" w:line="300"/>
      </w:pPr>
      <w:r>
        <w:rPr>
          <w:rFonts w:ascii="Calibri" w:cs="Calibri" w:eastAsia="Calibri" w:hAnsi="Calibri"/>
          <w:i/>
          <w:iCs/>
          <w:color w:val="5B5B5B"/>
          <w:sz w:val="22"/>
          <w:szCs w:val="22"/>
        </w:rPr>
        <w:t xml:space="preserve">Angka berikut bersifat indikatif untuk perencanaan awal dan perlu divalidasi lebih lanjut melalui riset pasar dan uji coba komersial pada Fase 2–3.</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500"/>
      </w:tblGrid>
      <w:tr>
        <w:trPr>
          <w:tblHeader/>
        </w:trPr>
        <w:tc>
          <w:tcPr>
            <w:tcW w:type="dxa" w:w="2600"/>
            <w:shd w:fill="1B3A4B" w:val="clear"/>
            <w:tcMar>
              <w:top w:type="dxa" w:w="80"/>
              <w:left w:type="dxa" w:w="100"/>
              <w:bottom w:type="dxa" w:w="80"/>
              <w:right w:type="dxa" w:w="100"/>
            </w:tcMar>
          </w:tcPr>
          <w:p>
            <w:r>
              <w:rPr>
                <w:rFonts w:ascii="Calibri" w:cs="Calibri" w:eastAsia="Calibri" w:hAnsi="Calibri"/>
                <w:b/>
                <w:bCs/>
                <w:color w:val="FFFFFF"/>
                <w:sz w:val="20"/>
                <w:szCs w:val="20"/>
              </w:rPr>
              <w:t xml:space="preserve">Lini Bisnis</w:t>
            </w:r>
          </w:p>
        </w:tc>
        <w:tc>
          <w:tcPr>
            <w:tcW w:type="dxa" w:w="2200"/>
            <w:shd w:fill="1B3A4B" w:val="clear"/>
            <w:tcMar>
              <w:top w:type="dxa" w:w="80"/>
              <w:left w:type="dxa" w:w="100"/>
              <w:bottom w:type="dxa" w:w="80"/>
              <w:right w:type="dxa" w:w="100"/>
            </w:tcMar>
          </w:tcPr>
          <w:p>
            <w:r>
              <w:rPr>
                <w:rFonts w:ascii="Calibri" w:cs="Calibri" w:eastAsia="Calibri" w:hAnsi="Calibri"/>
                <w:b/>
                <w:bCs/>
                <w:color w:val="FFFFFF"/>
                <w:sz w:val="20"/>
                <w:szCs w:val="20"/>
              </w:rPr>
              <w:t xml:space="preserve">Asumsi Volume (Bulan ke-6)</w:t>
            </w:r>
          </w:p>
        </w:tc>
        <w:tc>
          <w:tcPr>
            <w:tcW w:type="dxa" w:w="2200"/>
            <w:shd w:fill="1B3A4B" w:val="clear"/>
            <w:tcMar>
              <w:top w:type="dxa" w:w="80"/>
              <w:left w:type="dxa" w:w="100"/>
              <w:bottom w:type="dxa" w:w="80"/>
              <w:right w:type="dxa" w:w="100"/>
            </w:tcMar>
          </w:tcPr>
          <w:p>
            <w:r>
              <w:rPr>
                <w:rFonts w:ascii="Calibri" w:cs="Calibri" w:eastAsia="Calibri" w:hAnsi="Calibri"/>
                <w:b/>
                <w:bCs/>
                <w:color w:val="FFFFFF"/>
                <w:sz w:val="20"/>
                <w:szCs w:val="20"/>
              </w:rPr>
              <w:t xml:space="preserve">Kisaran Harga</w:t>
            </w:r>
          </w:p>
        </w:tc>
        <w:tc>
          <w:tcPr>
            <w:tcW w:type="dxa" w:w="2500"/>
            <w:shd w:fill="1B3A4B" w:val="clear"/>
            <w:tcMar>
              <w:top w:type="dxa" w:w="80"/>
              <w:left w:type="dxa" w:w="100"/>
              <w:bottom w:type="dxa" w:w="80"/>
              <w:right w:type="dxa" w:w="100"/>
            </w:tcMar>
          </w:tcPr>
          <w:p>
            <w:r>
              <w:rPr>
                <w:rFonts w:ascii="Calibri" w:cs="Calibri" w:eastAsia="Calibri" w:hAnsi="Calibri"/>
                <w:b/>
                <w:bCs/>
                <w:color w:val="FFFFFF"/>
                <w:sz w:val="20"/>
                <w:szCs w:val="20"/>
              </w:rPr>
              <w:t xml:space="preserve">Estimasi Pendapatan Bulanan</w:t>
            </w:r>
          </w:p>
        </w:tc>
      </w:tr>
      <w:tr>
        <w:tc>
          <w:tcPr>
            <w:tcW w:type="dxa" w:w="2600"/>
            <w:tcMar>
              <w:top w:type="dxa" w:w="80"/>
              <w:left w:type="dxa" w:w="100"/>
              <w:bottom w:type="dxa" w:w="80"/>
              <w:right w:type="dxa" w:w="100"/>
            </w:tcMar>
          </w:tcPr>
          <w:p>
            <w:r>
              <w:rPr>
                <w:rFonts w:ascii="Calibri" w:cs="Calibri" w:eastAsia="Calibri" w:hAnsi="Calibri"/>
                <w:sz w:val="20"/>
                <w:szCs w:val="20"/>
              </w:rPr>
              <w:t xml:space="preserve">AquaAlert</w:t>
            </w:r>
          </w:p>
        </w:tc>
        <w:tc>
          <w:tcPr>
            <w:tcW w:type="dxa" w:w="2200"/>
            <w:tcMar>
              <w:top w:type="dxa" w:w="80"/>
              <w:left w:type="dxa" w:w="100"/>
              <w:bottom w:type="dxa" w:w="80"/>
              <w:right w:type="dxa" w:w="100"/>
            </w:tcMar>
          </w:tcPr>
          <w:p>
            <w:r>
              <w:rPr>
                <w:rFonts w:ascii="Calibri" w:cs="Calibri" w:eastAsia="Calibri" w:hAnsi="Calibri"/>
                <w:sz w:val="20"/>
                <w:szCs w:val="20"/>
              </w:rPr>
              <w:t xml:space="preserve">40 lokasi kolam</w:t>
            </w:r>
          </w:p>
        </w:tc>
        <w:tc>
          <w:tcPr>
            <w:tcW w:type="dxa" w:w="2200"/>
            <w:tcMar>
              <w:top w:type="dxa" w:w="80"/>
              <w:left w:type="dxa" w:w="100"/>
              <w:bottom w:type="dxa" w:w="80"/>
              <w:right w:type="dxa" w:w="100"/>
            </w:tcMar>
          </w:tcPr>
          <w:p>
            <w:r>
              <w:rPr>
                <w:rFonts w:ascii="Calibri" w:cs="Calibri" w:eastAsia="Calibri" w:hAnsi="Calibri"/>
                <w:sz w:val="20"/>
                <w:szCs w:val="20"/>
              </w:rPr>
              <w:t xml:space="preserve">Rp500rb–Rp1,5jt/bulan/lokasi</w:t>
            </w:r>
          </w:p>
        </w:tc>
        <w:tc>
          <w:tcPr>
            <w:tcW w:type="dxa" w:w="2500"/>
            <w:tcMar>
              <w:top w:type="dxa" w:w="80"/>
              <w:left w:type="dxa" w:w="100"/>
              <w:bottom w:type="dxa" w:w="80"/>
              <w:right w:type="dxa" w:w="100"/>
            </w:tcMar>
          </w:tcPr>
          <w:p>
            <w:r>
              <w:rPr>
                <w:rFonts w:ascii="Calibri" w:cs="Calibri" w:eastAsia="Calibri" w:hAnsi="Calibri"/>
                <w:sz w:val="20"/>
                <w:szCs w:val="20"/>
              </w:rPr>
              <w:t xml:space="preserve">Rp20 juta – Rp60 juta</w:t>
            </w:r>
          </w:p>
        </w:tc>
      </w:tr>
      <w:tr>
        <w:tc>
          <w:tcPr>
            <w:tcW w:type="dxa" w:w="2600"/>
            <w:shd w:fill="F2EFE9" w:val="clear"/>
            <w:tcMar>
              <w:top w:type="dxa" w:w="80"/>
              <w:left w:type="dxa" w:w="100"/>
              <w:bottom w:type="dxa" w:w="80"/>
              <w:right w:type="dxa" w:w="100"/>
            </w:tcMar>
          </w:tcPr>
          <w:p>
            <w:r>
              <w:rPr>
                <w:rFonts w:ascii="Calibri" w:cs="Calibri" w:eastAsia="Calibri" w:hAnsi="Calibri"/>
                <w:sz w:val="20"/>
                <w:szCs w:val="20"/>
              </w:rPr>
              <w:t xml:space="preserve">Hydro-AMDAL (lisensi tahunan)</w:t>
            </w:r>
          </w:p>
        </w:tc>
        <w:tc>
          <w:tcPr>
            <w:tcW w:type="dxa" w:w="2200"/>
            <w:shd w:fill="F2EFE9" w:val="clear"/>
            <w:tcMar>
              <w:top w:type="dxa" w:w="80"/>
              <w:left w:type="dxa" w:w="100"/>
              <w:bottom w:type="dxa" w:w="80"/>
              <w:right w:type="dxa" w:w="100"/>
            </w:tcMar>
          </w:tcPr>
          <w:p>
            <w:r>
              <w:rPr>
                <w:rFonts w:ascii="Calibri" w:cs="Calibri" w:eastAsia="Calibri" w:hAnsi="Calibri"/>
                <w:sz w:val="20"/>
                <w:szCs w:val="20"/>
              </w:rPr>
              <w:t xml:space="preserve">3 lisensi aktif</w:t>
            </w:r>
          </w:p>
        </w:tc>
        <w:tc>
          <w:tcPr>
            <w:tcW w:type="dxa" w:w="2200"/>
            <w:shd w:fill="F2EFE9" w:val="clear"/>
            <w:tcMar>
              <w:top w:type="dxa" w:w="80"/>
              <w:left w:type="dxa" w:w="100"/>
              <w:bottom w:type="dxa" w:w="80"/>
              <w:right w:type="dxa" w:w="100"/>
            </w:tcMar>
          </w:tcPr>
          <w:p>
            <w:r>
              <w:rPr>
                <w:rFonts w:ascii="Calibri" w:cs="Calibri" w:eastAsia="Calibri" w:hAnsi="Calibri"/>
                <w:sz w:val="20"/>
                <w:szCs w:val="20"/>
              </w:rPr>
              <w:t xml:space="preserve">Rp20jt–Rp50jt/tahun</w:t>
            </w:r>
          </w:p>
        </w:tc>
        <w:tc>
          <w:tcPr>
            <w:tcW w:type="dxa" w:w="2500"/>
            <w:shd w:fill="F2EFE9" w:val="clear"/>
            <w:tcMar>
              <w:top w:type="dxa" w:w="80"/>
              <w:left w:type="dxa" w:w="100"/>
              <w:bottom w:type="dxa" w:w="80"/>
              <w:right w:type="dxa" w:w="100"/>
            </w:tcMar>
          </w:tcPr>
          <w:p>
            <w:r>
              <w:rPr>
                <w:rFonts w:ascii="Calibri" w:cs="Calibri" w:eastAsia="Calibri" w:hAnsi="Calibri"/>
                <w:sz w:val="20"/>
                <w:szCs w:val="20"/>
              </w:rPr>
              <w:t xml:space="preserve">≈ Rp5 juta – Rp12,5 juta (setara bulanan)</w:t>
            </w:r>
          </w:p>
        </w:tc>
      </w:tr>
      <w:tr>
        <w:tc>
          <w:tcPr>
            <w:tcW w:type="dxa" w:w="2600"/>
            <w:tcMar>
              <w:top w:type="dxa" w:w="80"/>
              <w:left w:type="dxa" w:w="100"/>
              <w:bottom w:type="dxa" w:w="80"/>
              <w:right w:type="dxa" w:w="100"/>
            </w:tcMar>
          </w:tcPr>
          <w:p>
            <w:r>
              <w:rPr>
                <w:rFonts w:ascii="Calibri" w:cs="Calibri" w:eastAsia="Calibri" w:hAnsi="Calibri"/>
                <w:sz w:val="20"/>
                <w:szCs w:val="20"/>
              </w:rPr>
              <w:t xml:space="preserve">Hydro-AMDAL (pay-per-project)</w:t>
            </w:r>
          </w:p>
        </w:tc>
        <w:tc>
          <w:tcPr>
            <w:tcW w:type="dxa" w:w="2200"/>
            <w:tcMar>
              <w:top w:type="dxa" w:w="80"/>
              <w:left w:type="dxa" w:w="100"/>
              <w:bottom w:type="dxa" w:w="80"/>
              <w:right w:type="dxa" w:w="100"/>
            </w:tcMar>
          </w:tcPr>
          <w:p>
            <w:r>
              <w:rPr>
                <w:rFonts w:ascii="Calibri" w:cs="Calibri" w:eastAsia="Calibri" w:hAnsi="Calibri"/>
                <w:sz w:val="20"/>
                <w:szCs w:val="20"/>
              </w:rPr>
              <w:t xml:space="preserve">15 unduhan/bulan</w:t>
            </w:r>
          </w:p>
        </w:tc>
        <w:tc>
          <w:tcPr>
            <w:tcW w:type="dxa" w:w="2200"/>
            <w:tcMar>
              <w:top w:type="dxa" w:w="80"/>
              <w:left w:type="dxa" w:w="100"/>
              <w:bottom w:type="dxa" w:w="80"/>
              <w:right w:type="dxa" w:w="100"/>
            </w:tcMar>
          </w:tcPr>
          <w:p>
            <w:r>
              <w:rPr>
                <w:rFonts w:ascii="Calibri" w:cs="Calibri" w:eastAsia="Calibri" w:hAnsi="Calibri"/>
                <w:sz w:val="20"/>
                <w:szCs w:val="20"/>
              </w:rPr>
              <w:t xml:space="preserve">Rp3jt–Rp7,5jt/unduhan</w:t>
            </w:r>
          </w:p>
        </w:tc>
        <w:tc>
          <w:tcPr>
            <w:tcW w:type="dxa" w:w="2500"/>
            <w:tcMar>
              <w:top w:type="dxa" w:w="80"/>
              <w:left w:type="dxa" w:w="100"/>
              <w:bottom w:type="dxa" w:w="80"/>
              <w:right w:type="dxa" w:w="100"/>
            </w:tcMar>
          </w:tcPr>
          <w:p>
            <w:r>
              <w:rPr>
                <w:rFonts w:ascii="Calibri" w:cs="Calibri" w:eastAsia="Calibri" w:hAnsi="Calibri"/>
                <w:sz w:val="20"/>
                <w:szCs w:val="20"/>
              </w:rPr>
              <w:t xml:space="preserve">Rp45 juta – Rp112,5 juta</w:t>
            </w:r>
          </w:p>
        </w:tc>
      </w:tr>
    </w:tbl>
    <w:p>
      <w:pPr>
        <w:spacing w:after="160" w:line="300"/>
      </w:pPr>
      <w:r>
        <w:rPr>
          <w:rFonts w:ascii="Calibri" w:cs="Calibri" w:eastAsia="Calibri" w:hAnsi="Calibri"/>
          <w:sz w:val="22"/>
          <w:szCs w:val="22"/>
        </w:rPr>
        <w:t xml:space="preserve">Catatan: pendapatan gabungan pada skenario menengah diperkirakan cukup untuk menutup biaya infrastruktur cloud, lisensi peta, gateway WhatsApp, dan tim operasional inti pada skala MVP.</w:t>
      </w:r>
    </w:p>
    <w:p>
      <w:pPr>
        <w:pStyle w:val="Heading1"/>
        <w:pBdr>
          <w:bottom w:val="single" w:color="1B3A4B" w:sz="6" w:space="4"/>
        </w:pBdr>
        <w:spacing w:after="200" w:before="400"/>
      </w:pPr>
      <w:r>
        <w:rPr>
          <w:rFonts w:ascii="Georgia" w:cs="Georgia" w:eastAsia="Georgia" w:hAnsi="Georgia"/>
          <w:b/>
          <w:bCs/>
          <w:color w:val="1B3A4B"/>
          <w:sz w:val="32"/>
          <w:szCs w:val="32"/>
        </w:rPr>
        <w:t xml:space="preserve">8. Kebutuhan Kepatuhan, Data, dan Kemitraan</w:t>
      </w:r>
    </w:p>
    <w:p>
      <w:pPr>
        <w:pStyle w:val="ListParagraph"/>
        <w:numPr>
          <w:ilvl w:val="0"/>
          <w:numId w:val="2"/>
        </w:numPr>
        <w:spacing w:after="90"/>
      </w:pPr>
      <w:r>
        <w:rPr>
          <w:rFonts w:ascii="Calibri" w:cs="Calibri" w:eastAsia="Calibri" w:hAnsi="Calibri"/>
          <w:sz w:val="22"/>
          <w:szCs w:val="22"/>
        </w:rPr>
        <w:t xml:space="preserve">Penggunaan data SIH3 harus mencantumkan atribusi sumber sesuai ketentuan data terbuka pemerintah.</w:t>
      </w:r>
    </w:p>
    <w:p>
      <w:pPr>
        <w:pStyle w:val="ListParagraph"/>
        <w:numPr>
          <w:ilvl w:val="0"/>
          <w:numId w:val="2"/>
        </w:numPr>
        <w:spacing w:after="90"/>
      </w:pPr>
      <w:r>
        <w:rPr>
          <w:rFonts w:ascii="Calibri" w:cs="Calibri" w:eastAsia="Calibri" w:hAnsi="Calibri"/>
          <w:sz w:val="22"/>
          <w:szCs w:val="22"/>
        </w:rPr>
        <w:t xml:space="preserve">Diperlukan kesepakatan formal (nota kesepahaman) dengan BBWS Citanduy untuk validasi silang data dan potensi akses data tambahan/prioritas.</w:t>
      </w:r>
    </w:p>
    <w:p>
      <w:pPr>
        <w:pStyle w:val="ListParagraph"/>
        <w:numPr>
          <w:ilvl w:val="0"/>
          <w:numId w:val="2"/>
        </w:numPr>
        <w:spacing w:after="90"/>
      </w:pPr>
      <w:r>
        <w:rPr>
          <w:rFonts w:ascii="Calibri" w:cs="Calibri" w:eastAsia="Calibri" w:hAnsi="Calibri"/>
          <w:sz w:val="22"/>
          <w:szCs w:val="22"/>
        </w:rPr>
        <w:t xml:space="preserve">Koordinasi dengan BPBD setempat untuk memastikan estimasi waktu tiba banjir dan status siaga selaras dengan protokol resmi kebencanaan daerah.</w:t>
      </w:r>
    </w:p>
    <w:p>
      <w:pPr>
        <w:pStyle w:val="ListParagraph"/>
        <w:numPr>
          <w:ilvl w:val="0"/>
          <w:numId w:val="2"/>
        </w:numPr>
        <w:spacing w:after="90"/>
      </w:pPr>
      <w:r>
        <w:rPr>
          <w:rFonts w:ascii="Calibri" w:cs="Calibri" w:eastAsia="Calibri" w:hAnsi="Calibri"/>
          <w:sz w:val="22"/>
          <w:szCs w:val="22"/>
        </w:rPr>
        <w:t xml:space="preserve">Data pribadi pelanggan (nomor WhatsApp, lokasi usaha) dan laporan warga (foto, GPS) harus dikelola sesuai prinsip perlindungan data pribadi yang berlaku.</w:t>
      </w:r>
    </w:p>
    <w:p>
      <w:pPr>
        <w:pStyle w:val="ListParagraph"/>
        <w:numPr>
          <w:ilvl w:val="0"/>
          <w:numId w:val="2"/>
        </w:numPr>
        <w:spacing w:after="90"/>
      </w:pPr>
      <w:r>
        <w:rPr>
          <w:rFonts w:ascii="Calibri" w:cs="Calibri" w:eastAsia="Calibri" w:hAnsi="Calibri"/>
          <w:sz w:val="22"/>
          <w:szCs w:val="22"/>
        </w:rPr>
        <w:t xml:space="preserve">Laporan Hydro-AMDAL yang digunakan untuk dokumen AMDAL resmi harus transparan mengenai metodologi (Gumbel/Log-Pearson III) agar dapat diaudit oleh pihak berwenang.</w:t>
      </w:r>
    </w:p>
    <w:p>
      <w:pPr>
        <w:pStyle w:val="Heading1"/>
        <w:pBdr>
          <w:bottom w:val="single" w:color="1B3A4B" w:sz="6" w:space="4"/>
        </w:pBdr>
        <w:spacing w:after="200" w:before="400"/>
      </w:pPr>
      <w:r>
        <w:rPr>
          <w:rFonts w:ascii="Georgia" w:cs="Georgia" w:eastAsia="Georgia" w:hAnsi="Georgia"/>
          <w:b/>
          <w:bCs/>
          <w:color w:val="1B3A4B"/>
          <w:sz w:val="32"/>
          <w:szCs w:val="32"/>
        </w:rPr>
        <w:t xml:space="preserve">9. Peta Jalan Bisnis &amp; Milestone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300"/>
      </w:tblGrid>
      <w:tr>
        <w:trPr>
          <w:tblHeader/>
        </w:trPr>
        <w:tc>
          <w:tcPr>
            <w:tcW w:type="dxa" w:w="1400"/>
            <w:shd w:fill="1B3A4B" w:val="clear"/>
            <w:tcMar>
              <w:top w:type="dxa" w:w="80"/>
              <w:left w:type="dxa" w:w="100"/>
              <w:bottom w:type="dxa" w:w="80"/>
              <w:right w:type="dxa" w:w="100"/>
            </w:tcMar>
          </w:tcPr>
          <w:p>
            <w:r>
              <w:rPr>
                <w:rFonts w:ascii="Calibri" w:cs="Calibri" w:eastAsia="Calibri" w:hAnsi="Calibri"/>
                <w:b/>
                <w:bCs/>
                <w:color w:val="FFFFFF"/>
                <w:sz w:val="20"/>
                <w:szCs w:val="20"/>
              </w:rPr>
              <w:t xml:space="preserve">Fase</w:t>
            </w:r>
          </w:p>
        </w:tc>
        <w:tc>
          <w:tcPr>
            <w:tcW w:type="dxa" w:w="1600"/>
            <w:shd w:fill="1B3A4B" w:val="clear"/>
            <w:tcMar>
              <w:top w:type="dxa" w:w="80"/>
              <w:left w:type="dxa" w:w="100"/>
              <w:bottom w:type="dxa" w:w="80"/>
              <w:right w:type="dxa" w:w="100"/>
            </w:tcMar>
          </w:tcPr>
          <w:p>
            <w:r>
              <w:rPr>
                <w:rFonts w:ascii="Calibri" w:cs="Calibri" w:eastAsia="Calibri" w:hAnsi="Calibri"/>
                <w:b/>
                <w:bCs/>
                <w:color w:val="FFFFFF"/>
                <w:sz w:val="20"/>
                <w:szCs w:val="20"/>
              </w:rPr>
              <w:t xml:space="preserve">Durasi</w:t>
            </w:r>
          </w:p>
        </w:tc>
        <w:tc>
          <w:tcPr>
            <w:tcW w:type="dxa" w:w="6300"/>
            <w:shd w:fill="1B3A4B" w:val="clear"/>
            <w:tcMar>
              <w:top w:type="dxa" w:w="80"/>
              <w:left w:type="dxa" w:w="100"/>
              <w:bottom w:type="dxa" w:w="80"/>
              <w:right w:type="dxa" w:w="100"/>
            </w:tcMar>
          </w:tcPr>
          <w:p>
            <w:r>
              <w:rPr>
                <w:rFonts w:ascii="Calibri" w:cs="Calibri" w:eastAsia="Calibri" w:hAnsi="Calibri"/>
                <w:b/>
                <w:bCs/>
                <w:color w:val="FFFFFF"/>
                <w:sz w:val="20"/>
                <w:szCs w:val="20"/>
              </w:rPr>
              <w:t xml:space="preserve">Milestone Bisnis</w:t>
            </w:r>
          </w:p>
        </w:tc>
      </w:tr>
      <w:tr>
        <w:tc>
          <w:tcPr>
            <w:tcW w:type="dxa" w:w="1400"/>
            <w:tcMar>
              <w:top w:type="dxa" w:w="80"/>
              <w:left w:type="dxa" w:w="100"/>
              <w:bottom w:type="dxa" w:w="80"/>
              <w:right w:type="dxa" w:w="100"/>
            </w:tcMar>
          </w:tcPr>
          <w:p>
            <w:r>
              <w:rPr>
                <w:rFonts w:ascii="Calibri" w:cs="Calibri" w:eastAsia="Calibri" w:hAnsi="Calibri"/>
                <w:sz w:val="20"/>
                <w:szCs w:val="20"/>
              </w:rPr>
              <w:t xml:space="preserve">Fase 1</w:t>
            </w:r>
          </w:p>
        </w:tc>
        <w:tc>
          <w:tcPr>
            <w:tcW w:type="dxa" w:w="1600"/>
            <w:tcMar>
              <w:top w:type="dxa" w:w="80"/>
              <w:left w:type="dxa" w:w="100"/>
              <w:bottom w:type="dxa" w:w="80"/>
              <w:right w:type="dxa" w:w="100"/>
            </w:tcMar>
          </w:tcPr>
          <w:p>
            <w:r>
              <w:rPr>
                <w:rFonts w:ascii="Calibri" w:cs="Calibri" w:eastAsia="Calibri" w:hAnsi="Calibri"/>
                <w:sz w:val="20"/>
                <w:szCs w:val="20"/>
              </w:rPr>
              <w:t xml:space="preserve">Bulan 1–2</w:t>
            </w:r>
          </w:p>
        </w:tc>
        <w:tc>
          <w:tcPr>
            <w:tcW w:type="dxa" w:w="6300"/>
            <w:tcMar>
              <w:top w:type="dxa" w:w="80"/>
              <w:left w:type="dxa" w:w="100"/>
              <w:bottom w:type="dxa" w:w="80"/>
              <w:right w:type="dxa" w:w="100"/>
            </w:tcMar>
          </w:tcPr>
          <w:p>
            <w:r>
              <w:rPr>
                <w:rFonts w:ascii="Calibri" w:cs="Calibri" w:eastAsia="Calibri" w:hAnsi="Calibri"/>
                <w:sz w:val="20"/>
                <w:szCs w:val="20"/>
              </w:rPr>
              <w:t xml:space="preserve">Validasi kelayakan data historis; penyusunan struktur harga final; identifikasi calon mitra pilot tambak.</w:t>
            </w:r>
          </w:p>
        </w:tc>
      </w:tr>
      <w:tr>
        <w:tc>
          <w:tcPr>
            <w:tcW w:type="dxa" w:w="1400"/>
            <w:shd w:fill="F2EFE9" w:val="clear"/>
            <w:tcMar>
              <w:top w:type="dxa" w:w="80"/>
              <w:left w:type="dxa" w:w="100"/>
              <w:bottom w:type="dxa" w:w="80"/>
              <w:right w:type="dxa" w:w="100"/>
            </w:tcMar>
          </w:tcPr>
          <w:p>
            <w:r>
              <w:rPr>
                <w:rFonts w:ascii="Calibri" w:cs="Calibri" w:eastAsia="Calibri" w:hAnsi="Calibri"/>
                <w:sz w:val="20"/>
                <w:szCs w:val="20"/>
              </w:rPr>
              <w:t xml:space="preserve">Fase 2</w:t>
            </w:r>
          </w:p>
        </w:tc>
        <w:tc>
          <w:tcPr>
            <w:tcW w:type="dxa" w:w="1600"/>
            <w:shd w:fill="F2EFE9" w:val="clear"/>
            <w:tcMar>
              <w:top w:type="dxa" w:w="80"/>
              <w:left w:type="dxa" w:w="100"/>
              <w:bottom w:type="dxa" w:w="80"/>
              <w:right w:type="dxa" w:w="100"/>
            </w:tcMar>
          </w:tcPr>
          <w:p>
            <w:r>
              <w:rPr>
                <w:rFonts w:ascii="Calibri" w:cs="Calibri" w:eastAsia="Calibri" w:hAnsi="Calibri"/>
                <w:sz w:val="20"/>
                <w:szCs w:val="20"/>
              </w:rPr>
              <w:t xml:space="preserve">Bulan 3–4</w:t>
            </w:r>
          </w:p>
        </w:tc>
        <w:tc>
          <w:tcPr>
            <w:tcW w:type="dxa" w:w="6300"/>
            <w:shd w:fill="F2EFE9" w:val="clear"/>
            <w:tcMar>
              <w:top w:type="dxa" w:w="80"/>
              <w:left w:type="dxa" w:w="100"/>
              <w:bottom w:type="dxa" w:w="80"/>
              <w:right w:type="dxa" w:w="100"/>
            </w:tcMar>
          </w:tcPr>
          <w:p>
            <w:r>
              <w:rPr>
                <w:rFonts w:ascii="Calibri" w:cs="Calibri" w:eastAsia="Calibri" w:hAnsi="Calibri"/>
                <w:sz w:val="20"/>
                <w:szCs w:val="20"/>
              </w:rPr>
              <w:t xml:space="preserve">Peluncuran dasbor publik untuk membangun kepercayaan merek; onboarding 5–10 pelanggan pilot AquaAlert.</w:t>
            </w:r>
          </w:p>
        </w:tc>
      </w:tr>
      <w:tr>
        <w:tc>
          <w:tcPr>
            <w:tcW w:type="dxa" w:w="1400"/>
            <w:tcMar>
              <w:top w:type="dxa" w:w="80"/>
              <w:left w:type="dxa" w:w="100"/>
              <w:bottom w:type="dxa" w:w="80"/>
              <w:right w:type="dxa" w:w="100"/>
            </w:tcMar>
          </w:tcPr>
          <w:p>
            <w:r>
              <w:rPr>
                <w:rFonts w:ascii="Calibri" w:cs="Calibri" w:eastAsia="Calibri" w:hAnsi="Calibri"/>
                <w:sz w:val="20"/>
                <w:szCs w:val="20"/>
              </w:rPr>
              <w:t xml:space="preserve">Fase 3</w:t>
            </w:r>
          </w:p>
        </w:tc>
        <w:tc>
          <w:tcPr>
            <w:tcW w:type="dxa" w:w="1600"/>
            <w:tcMar>
              <w:top w:type="dxa" w:w="80"/>
              <w:left w:type="dxa" w:w="100"/>
              <w:bottom w:type="dxa" w:w="80"/>
              <w:right w:type="dxa" w:w="100"/>
            </w:tcMar>
          </w:tcPr>
          <w:p>
            <w:r>
              <w:rPr>
                <w:rFonts w:ascii="Calibri" w:cs="Calibri" w:eastAsia="Calibri" w:hAnsi="Calibri"/>
                <w:sz w:val="20"/>
                <w:szCs w:val="20"/>
              </w:rPr>
              <w:t xml:space="preserve">Bulan 5–6</w:t>
            </w:r>
          </w:p>
        </w:tc>
        <w:tc>
          <w:tcPr>
            <w:tcW w:type="dxa" w:w="6300"/>
            <w:tcMar>
              <w:top w:type="dxa" w:w="80"/>
              <w:left w:type="dxa" w:w="100"/>
              <w:bottom w:type="dxa" w:w="80"/>
              <w:right w:type="dxa" w:w="100"/>
            </w:tcMar>
          </w:tcPr>
          <w:p>
            <w:r>
              <w:rPr>
                <w:rFonts w:ascii="Calibri" w:cs="Calibri" w:eastAsia="Calibri" w:hAnsi="Calibri"/>
                <w:sz w:val="20"/>
                <w:szCs w:val="20"/>
              </w:rPr>
              <w:t xml:space="preserve">Aktivasi pembayaran digital Hydro-AMDAL; kampanye pemasaran ke konsultan/kawasan industri Jabar–Jateng; formalisasi MoU BBWS/BPBD.</w:t>
            </w:r>
          </w:p>
        </w:tc>
      </w:tr>
    </w:tbl>
    <w:p>
      <w:pPr>
        <w:pStyle w:val="Heading1"/>
        <w:pBdr>
          <w:bottom w:val="single" w:color="1B3A4B" w:sz="6" w:space="4"/>
        </w:pBdr>
        <w:spacing w:after="200" w:before="400"/>
      </w:pPr>
      <w:r>
        <w:rPr>
          <w:rFonts w:ascii="Georgia" w:cs="Georgia" w:eastAsia="Georgia" w:hAnsi="Georgia"/>
          <w:b/>
          <w:bCs/>
          <w:color w:val="1B3A4B"/>
          <w:sz w:val="32"/>
          <w:szCs w:val="32"/>
        </w:rPr>
        <w:t xml:space="preserve">10. Risiko Bisnis &amp; Mitigasi</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3900"/>
      </w:tblGrid>
      <w:tr>
        <w:trPr>
          <w:tblHeader/>
        </w:trPr>
        <w:tc>
          <w:tcPr>
            <w:tcW w:type="dxa" w:w="3400"/>
            <w:shd w:fill="1B3A4B" w:val="clear"/>
            <w:tcMar>
              <w:top w:type="dxa" w:w="80"/>
              <w:left w:type="dxa" w:w="100"/>
              <w:bottom w:type="dxa" w:w="80"/>
              <w:right w:type="dxa" w:w="100"/>
            </w:tcMar>
          </w:tcPr>
          <w:p>
            <w:r>
              <w:rPr>
                <w:rFonts w:ascii="Calibri" w:cs="Calibri" w:eastAsia="Calibri" w:hAnsi="Calibri"/>
                <w:b/>
                <w:bCs/>
                <w:color w:val="FFFFFF"/>
                <w:sz w:val="20"/>
                <w:szCs w:val="20"/>
              </w:rPr>
              <w:t xml:space="preserve">Risiko</w:t>
            </w:r>
          </w:p>
        </w:tc>
        <w:tc>
          <w:tcPr>
            <w:tcW w:type="dxa" w:w="1600"/>
            <w:shd w:fill="1B3A4B" w:val="clear"/>
            <w:tcMar>
              <w:top w:type="dxa" w:w="80"/>
              <w:left w:type="dxa" w:w="100"/>
              <w:bottom w:type="dxa" w:w="80"/>
              <w:right w:type="dxa" w:w="100"/>
            </w:tcMar>
          </w:tcPr>
          <w:p>
            <w:r>
              <w:rPr>
                <w:rFonts w:ascii="Calibri" w:cs="Calibri" w:eastAsia="Calibri" w:hAnsi="Calibri"/>
                <w:b/>
                <w:bCs/>
                <w:color w:val="FFFFFF"/>
                <w:sz w:val="20"/>
                <w:szCs w:val="20"/>
              </w:rPr>
              <w:t xml:space="preserve">Kategori</w:t>
            </w:r>
          </w:p>
        </w:tc>
        <w:tc>
          <w:tcPr>
            <w:tcW w:type="dxa" w:w="3900"/>
            <w:shd w:fill="1B3A4B" w:val="clear"/>
            <w:tcMar>
              <w:top w:type="dxa" w:w="80"/>
              <w:left w:type="dxa" w:w="100"/>
              <w:bottom w:type="dxa" w:w="80"/>
              <w:right w:type="dxa" w:w="100"/>
            </w:tcMar>
          </w:tcPr>
          <w:p>
            <w:r>
              <w:rPr>
                <w:rFonts w:ascii="Calibri" w:cs="Calibri" w:eastAsia="Calibri" w:hAnsi="Calibri"/>
                <w:b/>
                <w:bCs/>
                <w:color w:val="FFFFFF"/>
                <w:sz w:val="20"/>
                <w:szCs w:val="20"/>
              </w:rPr>
              <w:t xml:space="preserve">Mitigasi</w:t>
            </w:r>
          </w:p>
        </w:tc>
      </w:tr>
      <w:tr>
        <w:tc>
          <w:tcPr>
            <w:tcW w:type="dxa" w:w="3400"/>
            <w:tcMar>
              <w:top w:type="dxa" w:w="80"/>
              <w:left w:type="dxa" w:w="100"/>
              <w:bottom w:type="dxa" w:w="80"/>
              <w:right w:type="dxa" w:w="100"/>
            </w:tcMar>
          </w:tcPr>
          <w:p>
            <w:r>
              <w:rPr>
                <w:rFonts w:ascii="Calibri" w:cs="Calibri" w:eastAsia="Calibri" w:hAnsi="Calibri"/>
                <w:sz w:val="20"/>
                <w:szCs w:val="20"/>
              </w:rPr>
              <w:t xml:space="preserve">Adopsi awal petambak rendah karena keraguan terhadap teknologi baru</w:t>
            </w:r>
          </w:p>
        </w:tc>
        <w:tc>
          <w:tcPr>
            <w:tcW w:type="dxa" w:w="1600"/>
            <w:tcMar>
              <w:top w:type="dxa" w:w="80"/>
              <w:left w:type="dxa" w:w="100"/>
              <w:bottom w:type="dxa" w:w="80"/>
              <w:right w:type="dxa" w:w="100"/>
            </w:tcMar>
          </w:tcPr>
          <w:p>
            <w:r>
              <w:rPr>
                <w:rFonts w:ascii="Calibri" w:cs="Calibri" w:eastAsia="Calibri" w:hAnsi="Calibri"/>
                <w:sz w:val="20"/>
                <w:szCs w:val="20"/>
              </w:rPr>
              <w:t xml:space="preserve">Pasar</w:t>
            </w:r>
          </w:p>
        </w:tc>
        <w:tc>
          <w:tcPr>
            <w:tcW w:type="dxa" w:w="3900"/>
            <w:tcMar>
              <w:top w:type="dxa" w:w="80"/>
              <w:left w:type="dxa" w:w="100"/>
              <w:bottom w:type="dxa" w:w="80"/>
              <w:right w:type="dxa" w:w="100"/>
            </w:tcMar>
          </w:tcPr>
          <w:p>
            <w:r>
              <w:rPr>
                <w:rFonts w:ascii="Calibri" w:cs="Calibri" w:eastAsia="Calibri" w:hAnsi="Calibri"/>
                <w:sz w:val="20"/>
                <w:szCs w:val="20"/>
              </w:rPr>
              <w:t xml:space="preserve">Program pilot bersubsidi/diskon awal dengan pendampingan langsung di 5–10 lokasi tambak.</w:t>
            </w:r>
          </w:p>
        </w:tc>
      </w:tr>
      <w:tr>
        <w:tc>
          <w:tcPr>
            <w:tcW w:type="dxa" w:w="3400"/>
            <w:shd w:fill="F2EFE9" w:val="clear"/>
            <w:tcMar>
              <w:top w:type="dxa" w:w="80"/>
              <w:left w:type="dxa" w:w="100"/>
              <w:bottom w:type="dxa" w:w="80"/>
              <w:right w:type="dxa" w:w="100"/>
            </w:tcMar>
          </w:tcPr>
          <w:p>
            <w:r>
              <w:rPr>
                <w:rFonts w:ascii="Calibri" w:cs="Calibri" w:eastAsia="Calibri" w:hAnsi="Calibri"/>
                <w:sz w:val="20"/>
                <w:szCs w:val="20"/>
              </w:rPr>
              <w:t xml:space="preserve">Ketergantungan pada satu sumber data (SIH3) yang dikelola pihak eksternal</w:t>
            </w:r>
          </w:p>
        </w:tc>
        <w:tc>
          <w:tcPr>
            <w:tcW w:type="dxa" w:w="1600"/>
            <w:shd w:fill="F2EFE9" w:val="clear"/>
            <w:tcMar>
              <w:top w:type="dxa" w:w="80"/>
              <w:left w:type="dxa" w:w="100"/>
              <w:bottom w:type="dxa" w:w="80"/>
              <w:right w:type="dxa" w:w="100"/>
            </w:tcMar>
          </w:tcPr>
          <w:p>
            <w:r>
              <w:rPr>
                <w:rFonts w:ascii="Calibri" w:cs="Calibri" w:eastAsia="Calibri" w:hAnsi="Calibri"/>
                <w:sz w:val="20"/>
                <w:szCs w:val="20"/>
              </w:rPr>
              <w:t xml:space="preserve">Operasional</w:t>
            </w:r>
          </w:p>
        </w:tc>
        <w:tc>
          <w:tcPr>
            <w:tcW w:type="dxa" w:w="3900"/>
            <w:shd w:fill="F2EFE9" w:val="clear"/>
            <w:tcMar>
              <w:top w:type="dxa" w:w="80"/>
              <w:left w:type="dxa" w:w="100"/>
              <w:bottom w:type="dxa" w:w="80"/>
              <w:right w:type="dxa" w:w="100"/>
            </w:tcMar>
          </w:tcPr>
          <w:p>
            <w:r>
              <w:rPr>
                <w:rFonts w:ascii="Calibri" w:cs="Calibri" w:eastAsia="Calibri" w:hAnsi="Calibri"/>
                <w:sz w:val="20"/>
                <w:szCs w:val="20"/>
              </w:rPr>
              <w:t xml:space="preserve">Membangun cadangan data historis internal dan mekanisme pemantauan perubahan portal sumber.</w:t>
            </w:r>
          </w:p>
        </w:tc>
      </w:tr>
      <w:tr>
        <w:tc>
          <w:tcPr>
            <w:tcW w:type="dxa" w:w="3400"/>
            <w:tcMar>
              <w:top w:type="dxa" w:w="80"/>
              <w:left w:type="dxa" w:w="100"/>
              <w:bottom w:type="dxa" w:w="80"/>
              <w:right w:type="dxa" w:w="100"/>
            </w:tcMar>
          </w:tcPr>
          <w:p>
            <w:r>
              <w:rPr>
                <w:rFonts w:ascii="Calibri" w:cs="Calibri" w:eastAsia="Calibri" w:hAnsi="Calibri"/>
                <w:sz w:val="20"/>
                <w:szCs w:val="20"/>
              </w:rPr>
              <w:t xml:space="preserve">Persepsi konflik kepentingan: data publik gratis vs. layanan berbayar dari sumber yang sama</w:t>
            </w:r>
          </w:p>
        </w:tc>
        <w:tc>
          <w:tcPr>
            <w:tcW w:type="dxa" w:w="1600"/>
            <w:tcMar>
              <w:top w:type="dxa" w:w="80"/>
              <w:left w:type="dxa" w:w="100"/>
              <w:bottom w:type="dxa" w:w="80"/>
              <w:right w:type="dxa" w:w="100"/>
            </w:tcMar>
          </w:tcPr>
          <w:p>
            <w:r>
              <w:rPr>
                <w:rFonts w:ascii="Calibri" w:cs="Calibri" w:eastAsia="Calibri" w:hAnsi="Calibri"/>
                <w:sz w:val="20"/>
                <w:szCs w:val="20"/>
              </w:rPr>
              <w:t xml:space="preserve">Reputasi</w:t>
            </w:r>
          </w:p>
        </w:tc>
        <w:tc>
          <w:tcPr>
            <w:tcW w:type="dxa" w:w="3900"/>
            <w:tcMar>
              <w:top w:type="dxa" w:w="80"/>
              <w:left w:type="dxa" w:w="100"/>
              <w:bottom w:type="dxa" w:w="80"/>
              <w:right w:type="dxa" w:w="100"/>
            </w:tcMar>
          </w:tcPr>
          <w:p>
            <w:r>
              <w:rPr>
                <w:rFonts w:ascii="Calibri" w:cs="Calibri" w:eastAsia="Calibri" w:hAnsi="Calibri"/>
                <w:sz w:val="20"/>
                <w:szCs w:val="20"/>
              </w:rPr>
              <w:t xml:space="preserve">Transparansi publik mengenai skema subsidi silang; komunikasi bahwa data dasar tetap sama, nilai tambah komersial ada pada otomasi dan analitik lanjutan.</w:t>
            </w:r>
          </w:p>
        </w:tc>
      </w:tr>
      <w:tr>
        <w:tc>
          <w:tcPr>
            <w:tcW w:type="dxa" w:w="3400"/>
            <w:shd w:fill="F2EFE9" w:val="clear"/>
            <w:tcMar>
              <w:top w:type="dxa" w:w="80"/>
              <w:left w:type="dxa" w:w="100"/>
              <w:bottom w:type="dxa" w:w="80"/>
              <w:right w:type="dxa" w:w="100"/>
            </w:tcMar>
          </w:tcPr>
          <w:p>
            <w:r>
              <w:rPr>
                <w:rFonts w:ascii="Calibri" w:cs="Calibri" w:eastAsia="Calibri" w:hAnsi="Calibri"/>
                <w:sz w:val="20"/>
                <w:szCs w:val="20"/>
              </w:rPr>
              <w:t xml:space="preserve">Fluktuasi permintaan proyek pay-per-project Hydro-AMDAL</w:t>
            </w:r>
          </w:p>
        </w:tc>
        <w:tc>
          <w:tcPr>
            <w:tcW w:type="dxa" w:w="1600"/>
            <w:shd w:fill="F2EFE9" w:val="clear"/>
            <w:tcMar>
              <w:top w:type="dxa" w:w="80"/>
              <w:left w:type="dxa" w:w="100"/>
              <w:bottom w:type="dxa" w:w="80"/>
              <w:right w:type="dxa" w:w="100"/>
            </w:tcMar>
          </w:tcPr>
          <w:p>
            <w:r>
              <w:rPr>
                <w:rFonts w:ascii="Calibri" w:cs="Calibri" w:eastAsia="Calibri" w:hAnsi="Calibri"/>
                <w:sz w:val="20"/>
                <w:szCs w:val="20"/>
              </w:rPr>
              <w:t xml:space="preserve">Finansial</w:t>
            </w:r>
          </w:p>
        </w:tc>
        <w:tc>
          <w:tcPr>
            <w:tcW w:type="dxa" w:w="3900"/>
            <w:shd w:fill="F2EFE9" w:val="clear"/>
            <w:tcMar>
              <w:top w:type="dxa" w:w="80"/>
              <w:left w:type="dxa" w:w="100"/>
              <w:bottom w:type="dxa" w:w="80"/>
              <w:right w:type="dxa" w:w="100"/>
            </w:tcMar>
          </w:tcPr>
          <w:p>
            <w:r>
              <w:rPr>
                <w:rFonts w:ascii="Calibri" w:cs="Calibri" w:eastAsia="Calibri" w:hAnsi="Calibri"/>
                <w:sz w:val="20"/>
                <w:szCs w:val="20"/>
              </w:rPr>
              <w:t xml:space="preserve">Mendorong migrasi pelanggan besar ke skema lisensi tahunan untuk pendapatan lebih stabil.</w:t>
            </w:r>
          </w:p>
        </w:tc>
      </w:tr>
      <w:tr>
        <w:tc>
          <w:tcPr>
            <w:tcW w:type="dxa" w:w="3400"/>
            <w:tcMar>
              <w:top w:type="dxa" w:w="80"/>
              <w:left w:type="dxa" w:w="100"/>
              <w:bottom w:type="dxa" w:w="80"/>
              <w:right w:type="dxa" w:w="100"/>
            </w:tcMar>
          </w:tcPr>
          <w:p>
            <w:r>
              <w:rPr>
                <w:rFonts w:ascii="Calibri" w:cs="Calibri" w:eastAsia="Calibri" w:hAnsi="Calibri"/>
                <w:sz w:val="20"/>
                <w:szCs w:val="20"/>
              </w:rPr>
              <w:t xml:space="preserve">Perubahan regulasi terkait data terbuka pemerintah</w:t>
            </w:r>
          </w:p>
        </w:tc>
        <w:tc>
          <w:tcPr>
            <w:tcW w:type="dxa" w:w="1600"/>
            <w:tcMar>
              <w:top w:type="dxa" w:w="80"/>
              <w:left w:type="dxa" w:w="100"/>
              <w:bottom w:type="dxa" w:w="80"/>
              <w:right w:type="dxa" w:w="100"/>
            </w:tcMar>
          </w:tcPr>
          <w:p>
            <w:r>
              <w:rPr>
                <w:rFonts w:ascii="Calibri" w:cs="Calibri" w:eastAsia="Calibri" w:hAnsi="Calibri"/>
                <w:sz w:val="20"/>
                <w:szCs w:val="20"/>
              </w:rPr>
              <w:t xml:space="preserve">Kepatuhan</w:t>
            </w:r>
          </w:p>
        </w:tc>
        <w:tc>
          <w:tcPr>
            <w:tcW w:type="dxa" w:w="3900"/>
            <w:tcMar>
              <w:top w:type="dxa" w:w="80"/>
              <w:left w:type="dxa" w:w="100"/>
              <w:bottom w:type="dxa" w:w="80"/>
              <w:right w:type="dxa" w:w="100"/>
            </w:tcMar>
          </w:tcPr>
          <w:p>
            <w:r>
              <w:rPr>
                <w:rFonts w:ascii="Calibri" w:cs="Calibri" w:eastAsia="Calibri" w:hAnsi="Calibri"/>
                <w:sz w:val="20"/>
                <w:szCs w:val="20"/>
              </w:rPr>
              <w:t xml:space="preserve">Pemantauan berkala regulasi dan hubungan komunikasi aktif dengan BBWS Citanduy.</w:t>
            </w:r>
          </w:p>
        </w:tc>
      </w:tr>
    </w:tbl>
    <w:p>
      <w:pPr>
        <w:pStyle w:val="Heading1"/>
        <w:pBdr>
          <w:bottom w:val="single" w:color="1B3A4B" w:sz="6" w:space="4"/>
        </w:pBdr>
        <w:spacing w:after="200" w:before="400"/>
      </w:pPr>
      <w:r>
        <w:rPr>
          <w:rFonts w:ascii="Georgia" w:cs="Georgia" w:eastAsia="Georgia" w:hAnsi="Georgia"/>
          <w:b/>
          <w:bCs/>
          <w:color w:val="1B3A4B"/>
          <w:sz w:val="32"/>
          <w:szCs w:val="32"/>
        </w:rPr>
        <w:t xml:space="preserve">11. Lampiran</w:t>
      </w:r>
    </w:p>
    <w:p>
      <w:pPr>
        <w:pStyle w:val="Heading2"/>
        <w:spacing w:after="150" w:before="300"/>
      </w:pPr>
      <w:r>
        <w:rPr>
          <w:rFonts w:ascii="Georgia" w:cs="Georgia" w:eastAsia="Georgia" w:hAnsi="Georgia"/>
          <w:b/>
          <w:bCs/>
          <w:color w:val="1B3A4B"/>
          <w:sz w:val="26"/>
          <w:szCs w:val="26"/>
        </w:rPr>
        <w:t xml:space="preserve">11.1 Ringkasan Katalog Nilai Data SIH3</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900"/>
        <w:gridCol w:w="6000"/>
      </w:tblGrid>
      <w:tr>
        <w:trPr>
          <w:tblHeader/>
        </w:trPr>
        <w:tc>
          <w:tcPr>
            <w:tcW w:type="dxa" w:w="2900"/>
            <w:shd w:fill="1B3A4B" w:val="clear"/>
            <w:tcMar>
              <w:top w:type="dxa" w:w="80"/>
              <w:left w:type="dxa" w:w="100"/>
              <w:bottom w:type="dxa" w:w="80"/>
              <w:right w:type="dxa" w:w="100"/>
            </w:tcMar>
          </w:tcPr>
          <w:p>
            <w:r>
              <w:rPr>
                <w:rFonts w:ascii="Calibri" w:cs="Calibri" w:eastAsia="Calibri" w:hAnsi="Calibri"/>
                <w:b/>
                <w:bCs/>
                <w:color w:val="FFFFFF"/>
                <w:sz w:val="20"/>
                <w:szCs w:val="20"/>
              </w:rPr>
              <w:t xml:space="preserve">Parameter Data</w:t>
            </w:r>
          </w:p>
        </w:tc>
        <w:tc>
          <w:tcPr>
            <w:tcW w:type="dxa" w:w="6000"/>
            <w:shd w:fill="1B3A4B" w:val="clear"/>
            <w:tcMar>
              <w:top w:type="dxa" w:w="80"/>
              <w:left w:type="dxa" w:w="100"/>
              <w:bottom w:type="dxa" w:w="80"/>
              <w:right w:type="dxa" w:w="100"/>
            </w:tcMar>
          </w:tcPr>
          <w:p>
            <w:r>
              <w:rPr>
                <w:rFonts w:ascii="Calibri" w:cs="Calibri" w:eastAsia="Calibri" w:hAnsi="Calibri"/>
                <w:b/>
                <w:bCs/>
                <w:color w:val="FFFFFF"/>
                <w:sz w:val="20"/>
                <w:szCs w:val="20"/>
              </w:rPr>
              <w:t xml:space="preserve">Peluang Nilai Komersial &amp; Sosial</w:t>
            </w:r>
          </w:p>
        </w:tc>
      </w:tr>
      <w:tr>
        <w:tc>
          <w:tcPr>
            <w:tcW w:type="dxa" w:w="2900"/>
            <w:tcMar>
              <w:top w:type="dxa" w:w="80"/>
              <w:left w:type="dxa" w:w="100"/>
              <w:bottom w:type="dxa" w:w="80"/>
              <w:right w:type="dxa" w:w="100"/>
            </w:tcMar>
          </w:tcPr>
          <w:p>
            <w:r>
              <w:rPr>
                <w:rFonts w:ascii="Calibri" w:cs="Calibri" w:eastAsia="Calibri" w:hAnsi="Calibri"/>
                <w:sz w:val="20"/>
                <w:szCs w:val="20"/>
              </w:rPr>
              <w:t xml:space="preserve">Curah Hujan</w:t>
            </w:r>
          </w:p>
        </w:tc>
        <w:tc>
          <w:tcPr>
            <w:tcW w:type="dxa" w:w="6000"/>
            <w:tcMar>
              <w:top w:type="dxa" w:w="80"/>
              <w:left w:type="dxa" w:w="100"/>
              <w:bottom w:type="dxa" w:w="80"/>
              <w:right w:type="dxa" w:w="100"/>
            </w:tcMar>
          </w:tcPr>
          <w:p>
            <w:r>
              <w:rPr>
                <w:rFonts w:ascii="Calibri" w:cs="Calibri" w:eastAsia="Calibri" w:hAnsi="Calibri"/>
                <w:sz w:val="20"/>
                <w:szCs w:val="20"/>
              </w:rPr>
              <w:t xml:space="preserve">Prediksi debit puncak hulu, analisis frekuensi hujan rancangan (IDF), jadwal tani mikro.</w:t>
            </w:r>
          </w:p>
        </w:tc>
      </w:tr>
      <w:tr>
        <w:tc>
          <w:tcPr>
            <w:tcW w:type="dxa" w:w="2900"/>
            <w:shd w:fill="F2EFE9" w:val="clear"/>
            <w:tcMar>
              <w:top w:type="dxa" w:w="80"/>
              <w:left w:type="dxa" w:w="100"/>
              <w:bottom w:type="dxa" w:w="80"/>
              <w:right w:type="dxa" w:w="100"/>
            </w:tcMar>
          </w:tcPr>
          <w:p>
            <w:r>
              <w:rPr>
                <w:rFonts w:ascii="Calibri" w:cs="Calibri" w:eastAsia="Calibri" w:hAnsi="Calibri"/>
                <w:sz w:val="20"/>
                <w:szCs w:val="20"/>
              </w:rPr>
              <w:t xml:space="preserve">Tinggi Muka Air (TMA)</w:t>
            </w:r>
          </w:p>
        </w:tc>
        <w:tc>
          <w:tcPr>
            <w:tcW w:type="dxa" w:w="6000"/>
            <w:shd w:fill="F2EFE9" w:val="clear"/>
            <w:tcMar>
              <w:top w:type="dxa" w:w="80"/>
              <w:left w:type="dxa" w:w="100"/>
              <w:bottom w:type="dxa" w:w="80"/>
              <w:right w:type="dxa" w:w="100"/>
            </w:tcMar>
          </w:tcPr>
          <w:p>
            <w:r>
              <w:rPr>
                <w:rFonts w:ascii="Calibri" w:cs="Calibri" w:eastAsia="Calibri" w:hAnsi="Calibri"/>
                <w:sz w:val="20"/>
                <w:szCs w:val="20"/>
              </w:rPr>
              <w:t xml:space="preserve">Peringatan dini luapan bantaran sungai, kalibrasi model penjalaran banjir hilir.</w:t>
            </w:r>
          </w:p>
        </w:tc>
      </w:tr>
      <w:tr>
        <w:tc>
          <w:tcPr>
            <w:tcW w:type="dxa" w:w="2900"/>
            <w:tcMar>
              <w:top w:type="dxa" w:w="80"/>
              <w:left w:type="dxa" w:w="100"/>
              <w:bottom w:type="dxa" w:w="80"/>
              <w:right w:type="dxa" w:w="100"/>
            </w:tcMar>
          </w:tcPr>
          <w:p>
            <w:r>
              <w:rPr>
                <w:rFonts w:ascii="Calibri" w:cs="Calibri" w:eastAsia="Calibri" w:hAnsi="Calibri"/>
                <w:sz w:val="20"/>
                <w:szCs w:val="20"/>
              </w:rPr>
              <w:t xml:space="preserve">Debit Aliran Sungai</w:t>
            </w:r>
          </w:p>
        </w:tc>
        <w:tc>
          <w:tcPr>
            <w:tcW w:type="dxa" w:w="6000"/>
            <w:tcMar>
              <w:top w:type="dxa" w:w="80"/>
              <w:left w:type="dxa" w:w="100"/>
              <w:bottom w:type="dxa" w:w="80"/>
              <w:right w:type="dxa" w:w="100"/>
            </w:tcMar>
          </w:tcPr>
          <w:p>
            <w:r>
              <w:rPr>
                <w:rFonts w:ascii="Calibri" w:cs="Calibri" w:eastAsia="Calibri" w:hAnsi="Calibri"/>
                <w:sz w:val="20"/>
                <w:szCs w:val="20"/>
              </w:rPr>
              <w:t xml:space="preserve">Estimasi daya serap buangan limbah cair industri dan ketersediaan suplai air baku irigasi.</w:t>
            </w:r>
          </w:p>
        </w:tc>
      </w:tr>
      <w:tr>
        <w:tc>
          <w:tcPr>
            <w:tcW w:type="dxa" w:w="2900"/>
            <w:shd w:fill="F2EFE9" w:val="clear"/>
            <w:tcMar>
              <w:top w:type="dxa" w:w="80"/>
              <w:left w:type="dxa" w:w="100"/>
              <w:bottom w:type="dxa" w:w="80"/>
              <w:right w:type="dxa" w:w="100"/>
            </w:tcMar>
          </w:tcPr>
          <w:p>
            <w:r>
              <w:rPr>
                <w:rFonts w:ascii="Calibri" w:cs="Calibri" w:eastAsia="Calibri" w:hAnsi="Calibri"/>
                <w:sz w:val="20"/>
                <w:szCs w:val="20"/>
              </w:rPr>
              <w:t xml:space="preserve">Klimatologi</w:t>
            </w:r>
          </w:p>
        </w:tc>
        <w:tc>
          <w:tcPr>
            <w:tcW w:type="dxa" w:w="6000"/>
            <w:shd w:fill="F2EFE9" w:val="clear"/>
            <w:tcMar>
              <w:top w:type="dxa" w:w="80"/>
              <w:left w:type="dxa" w:w="100"/>
              <w:bottom w:type="dxa" w:w="80"/>
              <w:right w:type="dxa" w:w="100"/>
            </w:tcMar>
          </w:tcPr>
          <w:p>
            <w:r>
              <w:rPr>
                <w:rFonts w:ascii="Calibri" w:cs="Calibri" w:eastAsia="Calibri" w:hAnsi="Calibri"/>
                <w:sz w:val="20"/>
                <w:szCs w:val="20"/>
              </w:rPr>
              <w:t xml:space="preserve">Perhitungan evapotranspirasi potensial (Penman-Monteith), model risiko hama/jamur.</w:t>
            </w:r>
          </w:p>
        </w:tc>
      </w:tr>
      <w:tr>
        <w:tc>
          <w:tcPr>
            <w:tcW w:type="dxa" w:w="2900"/>
            <w:tcMar>
              <w:top w:type="dxa" w:w="80"/>
              <w:left w:type="dxa" w:w="100"/>
              <w:bottom w:type="dxa" w:w="80"/>
              <w:right w:type="dxa" w:w="100"/>
            </w:tcMar>
          </w:tcPr>
          <w:p>
            <w:r>
              <w:rPr>
                <w:rFonts w:ascii="Calibri" w:cs="Calibri" w:eastAsia="Calibri" w:hAnsi="Calibri"/>
                <w:sz w:val="20"/>
                <w:szCs w:val="20"/>
              </w:rPr>
              <w:t xml:space="preserve">Kualitas Air</w:t>
            </w:r>
          </w:p>
        </w:tc>
        <w:tc>
          <w:tcPr>
            <w:tcW w:type="dxa" w:w="6000"/>
            <w:tcMar>
              <w:top w:type="dxa" w:w="80"/>
              <w:left w:type="dxa" w:w="100"/>
              <w:bottom w:type="dxa" w:w="80"/>
              <w:right w:type="dxa" w:w="100"/>
            </w:tcMar>
          </w:tcPr>
          <w:p>
            <w:r>
              <w:rPr>
                <w:rFonts w:ascii="Calibri" w:cs="Calibri" w:eastAsia="Calibri" w:hAnsi="Calibri"/>
                <w:sz w:val="20"/>
                <w:szCs w:val="20"/>
              </w:rPr>
              <w:t xml:space="preserve">Rekomendasi penyedotan air tambak estuari, kepatuhan baku mutu lingkungan (AMDAL).</w:t>
            </w:r>
          </w:p>
        </w:tc>
      </w:tr>
    </w:tbl>
    <w:p>
      <w:pPr>
        <w:pStyle w:val="Heading2"/>
        <w:spacing w:after="150" w:before="300"/>
      </w:pPr>
      <w:r>
        <w:rPr>
          <w:rFonts w:ascii="Georgia" w:cs="Georgia" w:eastAsia="Georgia" w:hAnsi="Georgia"/>
          <w:b/>
          <w:bCs/>
          <w:color w:val="1B3A4B"/>
          <w:sz w:val="26"/>
          <w:szCs w:val="26"/>
        </w:rPr>
        <w:t xml:space="preserve">11.2 Riwayat Revisi Dokumen</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400"/>
      </w:tblGrid>
      <w:tr>
        <w:trPr>
          <w:tblHeader/>
        </w:trPr>
        <w:tc>
          <w:tcPr>
            <w:tcW w:type="dxa" w:w="1500"/>
            <w:shd w:fill="1B3A4B" w:val="clear"/>
            <w:tcMar>
              <w:top w:type="dxa" w:w="80"/>
              <w:left w:type="dxa" w:w="100"/>
              <w:bottom w:type="dxa" w:w="80"/>
              <w:right w:type="dxa" w:w="100"/>
            </w:tcMar>
          </w:tcPr>
          <w:p>
            <w:r>
              <w:rPr>
                <w:rFonts w:ascii="Calibri" w:cs="Calibri" w:eastAsia="Calibri" w:hAnsi="Calibri"/>
                <w:b/>
                <w:bCs/>
                <w:color w:val="FFFFFF"/>
                <w:sz w:val="20"/>
                <w:szCs w:val="20"/>
              </w:rPr>
              <w:t xml:space="preserve">Versi</w:t>
            </w:r>
          </w:p>
        </w:tc>
        <w:tc>
          <w:tcPr>
            <w:tcW w:type="dxa" w:w="2000"/>
            <w:shd w:fill="1B3A4B" w:val="clear"/>
            <w:tcMar>
              <w:top w:type="dxa" w:w="80"/>
              <w:left w:type="dxa" w:w="100"/>
              <w:bottom w:type="dxa" w:w="80"/>
              <w:right w:type="dxa" w:w="100"/>
            </w:tcMar>
          </w:tcPr>
          <w:p>
            <w:r>
              <w:rPr>
                <w:rFonts w:ascii="Calibri" w:cs="Calibri" w:eastAsia="Calibri" w:hAnsi="Calibri"/>
                <w:b/>
                <w:bCs/>
                <w:color w:val="FFFFFF"/>
                <w:sz w:val="20"/>
                <w:szCs w:val="20"/>
              </w:rPr>
              <w:t xml:space="preserve">Tanggal</w:t>
            </w:r>
          </w:p>
        </w:tc>
        <w:tc>
          <w:tcPr>
            <w:tcW w:type="dxa" w:w="5400"/>
            <w:shd w:fill="1B3A4B" w:val="clear"/>
            <w:tcMar>
              <w:top w:type="dxa" w:w="80"/>
              <w:left w:type="dxa" w:w="100"/>
              <w:bottom w:type="dxa" w:w="80"/>
              <w:right w:type="dxa" w:w="100"/>
            </w:tcMar>
          </w:tcPr>
          <w:p>
            <w:r>
              <w:rPr>
                <w:rFonts w:ascii="Calibri" w:cs="Calibri" w:eastAsia="Calibri" w:hAnsi="Calibri"/>
                <w:b/>
                <w:bCs/>
                <w:color w:val="FFFFFF"/>
                <w:sz w:val="20"/>
                <w:szCs w:val="20"/>
              </w:rPr>
              <w:t xml:space="preserve">Deskripsi Perubahan</w:t>
            </w:r>
          </w:p>
        </w:tc>
      </w:tr>
      <w:tr>
        <w:tc>
          <w:tcPr>
            <w:tcW w:type="dxa" w:w="1500"/>
            <w:tcMar>
              <w:top w:type="dxa" w:w="80"/>
              <w:left w:type="dxa" w:w="100"/>
              <w:bottom w:type="dxa" w:w="80"/>
              <w:right w:type="dxa" w:w="100"/>
            </w:tcMar>
          </w:tcPr>
          <w:p>
            <w:r>
              <w:rPr>
                <w:rFonts w:ascii="Calibri" w:cs="Calibri" w:eastAsia="Calibri" w:hAnsi="Calibri"/>
                <w:sz w:val="20"/>
                <w:szCs w:val="20"/>
              </w:rPr>
              <w:t xml:space="preserve">1.0</w:t>
            </w:r>
          </w:p>
        </w:tc>
        <w:tc>
          <w:tcPr>
            <w:tcW w:type="dxa" w:w="2000"/>
            <w:tcMar>
              <w:top w:type="dxa" w:w="80"/>
              <w:left w:type="dxa" w:w="100"/>
              <w:bottom w:type="dxa" w:w="80"/>
              <w:right w:type="dxa" w:w="100"/>
            </w:tcMar>
          </w:tcPr>
          <w:p>
            <w:r>
              <w:rPr>
                <w:rFonts w:ascii="Calibri" w:cs="Calibri" w:eastAsia="Calibri" w:hAnsi="Calibri"/>
                <w:sz w:val="20"/>
                <w:szCs w:val="20"/>
              </w:rPr>
              <w:t xml:space="preserve">5 September 2026</w:t>
            </w:r>
          </w:p>
        </w:tc>
        <w:tc>
          <w:tcPr>
            <w:tcW w:type="dxa" w:w="5400"/>
            <w:tcMar>
              <w:top w:type="dxa" w:w="80"/>
              <w:left w:type="dxa" w:w="100"/>
              <w:bottom w:type="dxa" w:w="80"/>
              <w:right w:type="dxa" w:w="100"/>
            </w:tcMar>
          </w:tcPr>
          <w:p>
            <w:r>
              <w:rPr>
                <w:rFonts w:ascii="Calibri" w:cs="Calibri" w:eastAsia="Calibri" w:hAnsi="Calibri"/>
                <w:sz w:val="20"/>
                <w:szCs w:val="20"/>
              </w:rPr>
              <w:t xml:space="preserve">Draf awal BRD berdasarkan Cetak Biru Pengembangan Sistem.</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5B5B"/>
        <w:sz w:val="16"/>
        <w:szCs w:val="16"/>
      </w:rPr>
      <w:t xml:space="preserve">Halaman </w:t>
    </w:r>
    <w:r>
      <w:rPr>
        <w:rFonts w:ascii="Calibri" w:cs="Calibri" w:eastAsia="Calibri" w:hAnsi="Calibri"/>
        <w:color w:val="5B5B5B"/>
        <w:sz w:val="16"/>
        <w:szCs w:val="16"/>
      </w:rPr>
      <w:fldChar w:fldCharType="begin"/>
      <w:instrText xml:space="preserve">PAGE</w:instrText>
      <w:fldChar w:fldCharType="separate"/>
      <w:fldChar w:fldCharType="end"/>
    </w:r>
    <w:r>
      <w:rPr>
        <w:rFonts w:ascii="Calibri" w:cs="Calibri" w:eastAsia="Calibri" w:hAnsi="Calibri"/>
        <w:color w:val="5B5B5B"/>
        <w:sz w:val="16"/>
        <w:szCs w:val="16"/>
      </w:rPr>
      <w:t xml:space="preserve"> dari </w:t>
    </w:r>
    <w:r>
      <w:rPr>
        <w:rFonts w:ascii="Calibri" w:cs="Calibri" w:eastAsia="Calibri" w:hAnsi="Calibri"/>
        <w:color w:val="5B5B5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2"/>
      </w:pBdr>
      <w:jc w:val="right"/>
    </w:pPr>
    <w:r>
      <w:rPr>
        <w:rFonts w:ascii="Calibri" w:cs="Calibri" w:eastAsia="Calibri" w:hAnsi="Calibri"/>
        <w:color w:val="5B5B5B"/>
        <w:sz w:val="16"/>
        <w:szCs w:val="16"/>
      </w:rPr>
      <w:t xml:space="preserve">BRD — Platform Intelijen Hidrologi Citanduy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2026-09-05T09:29:52.704Z</dcterms:created>
  <dcterms:modified xsi:type="dcterms:W3CDTF">2026-09-05T09:29:52.704Z</dcterms:modified>
</cp:coreProperties>
</file>

<file path=docProps/custom.xml><?xml version="1.0" encoding="utf-8"?>
<Properties xmlns="http://schemas.openxmlformats.org/officeDocument/2006/custom-properties" xmlns:vt="http://schemas.openxmlformats.org/officeDocument/2006/docPropsVTypes"/>
</file>