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BCE5F" w14:textId="5DAA2DB3" w:rsidR="00892AD4" w:rsidRDefault="0074042E" w:rsidP="00DE63E9">
      <w:pPr>
        <w:spacing w:line="480" w:lineRule="auto"/>
      </w:pPr>
      <w:r>
        <w:t>Andres Melendez</w:t>
      </w:r>
    </w:p>
    <w:p w14:paraId="1D4C2371" w14:textId="47BAB2FA" w:rsidR="0074042E" w:rsidRDefault="0074042E" w:rsidP="00DE63E9">
      <w:pPr>
        <w:spacing w:line="480" w:lineRule="auto"/>
      </w:pPr>
      <w:r>
        <w:t>CSD 380</w:t>
      </w:r>
    </w:p>
    <w:p w14:paraId="68F3DB13" w14:textId="19BDB860" w:rsidR="0074042E" w:rsidRDefault="0074042E" w:rsidP="00DE63E9">
      <w:pPr>
        <w:spacing w:line="480" w:lineRule="auto"/>
      </w:pPr>
      <w:r>
        <w:t>3 / 8 / 2025</w:t>
      </w:r>
    </w:p>
    <w:p w14:paraId="7470C730" w14:textId="77777777" w:rsidR="0074042E" w:rsidRPr="0074042E" w:rsidRDefault="0074042E" w:rsidP="00A30BAD">
      <w:pPr>
        <w:spacing w:line="240" w:lineRule="auto"/>
        <w:jc w:val="center"/>
        <w:rPr>
          <w:b/>
          <w:bCs/>
          <w:sz w:val="32"/>
          <w:szCs w:val="32"/>
        </w:rPr>
      </w:pPr>
      <w:r w:rsidRPr="0074042E">
        <w:rPr>
          <w:b/>
          <w:bCs/>
          <w:sz w:val="32"/>
          <w:szCs w:val="32"/>
        </w:rPr>
        <w:t>Analysis of Case Studies: Compliance and Production Telemetry in DevOps</w:t>
      </w:r>
    </w:p>
    <w:p w14:paraId="25966C4F" w14:textId="77777777" w:rsidR="0074042E" w:rsidRPr="0074042E" w:rsidRDefault="0074042E" w:rsidP="00DE63E9">
      <w:pPr>
        <w:spacing w:line="480" w:lineRule="auto"/>
        <w:rPr>
          <w:b/>
          <w:bCs/>
          <w:sz w:val="28"/>
          <w:szCs w:val="28"/>
        </w:rPr>
      </w:pPr>
      <w:r w:rsidRPr="0074042E">
        <w:rPr>
          <w:b/>
          <w:bCs/>
          <w:sz w:val="28"/>
          <w:szCs w:val="28"/>
        </w:rPr>
        <w:t>Introduction</w:t>
      </w:r>
    </w:p>
    <w:p w14:paraId="16C5CD85" w14:textId="22C8DCA7" w:rsidR="0074042E" w:rsidRPr="0074042E" w:rsidRDefault="0074042E" w:rsidP="0074042E">
      <w:r w:rsidRPr="0074042E">
        <w:t>Ensuring compliance and security in modern software development and operations is critical for organizations operating in regulated environments. The case studies Relying on Production Telemetry for ATM Systems and Proving Compliance in Regulated Environments highlight security, auditing, and compliance challenges within DevOps practices. These case studies provide insight into how organizations can better detect fraud, ensure compliance, and integrate auditing processes into agile workflows. This paper summarizes the key points and lessons learned from both case studies.</w:t>
      </w:r>
    </w:p>
    <w:p w14:paraId="3D6A3159" w14:textId="77777777" w:rsidR="0074042E" w:rsidRPr="0074042E" w:rsidRDefault="0074042E" w:rsidP="00DE63E9">
      <w:pPr>
        <w:spacing w:line="480" w:lineRule="auto"/>
        <w:rPr>
          <w:b/>
          <w:bCs/>
          <w:sz w:val="28"/>
          <w:szCs w:val="28"/>
        </w:rPr>
      </w:pPr>
      <w:r w:rsidRPr="0074042E">
        <w:rPr>
          <w:b/>
          <w:bCs/>
          <w:sz w:val="28"/>
          <w:szCs w:val="28"/>
        </w:rPr>
        <w:t>Case Study 1: Relying on Production Telemetry for ATM Systems</w:t>
      </w:r>
    </w:p>
    <w:p w14:paraId="2DF3E87E" w14:textId="77777777" w:rsidR="0074042E" w:rsidRPr="0074042E" w:rsidRDefault="0074042E" w:rsidP="0074042E">
      <w:r w:rsidRPr="0074042E">
        <w:t>This case study discusses a financial institution’s experience detecting fraud in its ATM systems. The DevOps initiative leader, Mary Smith, highlights the risks of over-relying on code reviews to catch fraudulent activities. Instead, she advocates using production monitoring and telemetry to detect unusual behaviors and security breaches.</w:t>
      </w:r>
    </w:p>
    <w:p w14:paraId="012AF65B" w14:textId="77777777" w:rsidR="0074042E" w:rsidRPr="0074042E" w:rsidRDefault="0074042E" w:rsidP="0074042E">
      <w:r w:rsidRPr="0074042E">
        <w:t>One example of such fraud occurred when a developer inserted a backdoor in the ATM software, enabling unauthorized cash withdrawals by placing machines into maintenance mode. The organization’s regular operations review meetings identified discrepancies between ATM cash balances and transaction logs, ultimately uncovering the fraud—notably, this fraud bypassed the separation of duties between Development and Operations and the approval process. However, production telemetry allowed the organization to detect and mitigate the issue swiftly.</w:t>
      </w:r>
    </w:p>
    <w:p w14:paraId="6839A698" w14:textId="77777777" w:rsidR="0074042E" w:rsidRPr="0074042E" w:rsidRDefault="0074042E" w:rsidP="00DE63E9">
      <w:pPr>
        <w:spacing w:line="480" w:lineRule="auto"/>
        <w:rPr>
          <w:sz w:val="28"/>
          <w:szCs w:val="28"/>
        </w:rPr>
      </w:pPr>
      <w:r w:rsidRPr="0074042E">
        <w:rPr>
          <w:b/>
          <w:bCs/>
          <w:sz w:val="28"/>
          <w:szCs w:val="28"/>
        </w:rPr>
        <w:t>Lessons Learned:</w:t>
      </w:r>
    </w:p>
    <w:p w14:paraId="06B91580" w14:textId="77777777" w:rsidR="0074042E" w:rsidRPr="0074042E" w:rsidRDefault="0074042E" w:rsidP="0074042E">
      <w:pPr>
        <w:numPr>
          <w:ilvl w:val="0"/>
          <w:numId w:val="1"/>
        </w:numPr>
      </w:pPr>
      <w:r w:rsidRPr="0074042E">
        <w:t>Code reviews alone are insufficient for preventing fraud; continuous monitoring and telemetry provide real-time visibility into production systems.</w:t>
      </w:r>
    </w:p>
    <w:p w14:paraId="057A8D3F" w14:textId="77777777" w:rsidR="0074042E" w:rsidRPr="0074042E" w:rsidRDefault="0074042E" w:rsidP="0074042E">
      <w:pPr>
        <w:numPr>
          <w:ilvl w:val="0"/>
          <w:numId w:val="1"/>
        </w:numPr>
      </w:pPr>
      <w:r w:rsidRPr="0074042E">
        <w:lastRenderedPageBreak/>
        <w:t>Fraud can exploit gaps in development processes despite security measures like separation of duties.</w:t>
      </w:r>
    </w:p>
    <w:p w14:paraId="498950C6" w14:textId="77777777" w:rsidR="0074042E" w:rsidRPr="0074042E" w:rsidRDefault="0074042E" w:rsidP="0074042E">
      <w:pPr>
        <w:numPr>
          <w:ilvl w:val="0"/>
          <w:numId w:val="1"/>
        </w:numPr>
      </w:pPr>
      <w:r w:rsidRPr="0074042E">
        <w:t>Regular operational reviews and anomaly detection in system logs help identify fraudulent activities early.</w:t>
      </w:r>
    </w:p>
    <w:p w14:paraId="33ECA02F" w14:textId="77777777" w:rsidR="0074042E" w:rsidRPr="0074042E" w:rsidRDefault="0074042E" w:rsidP="0074042E">
      <w:pPr>
        <w:numPr>
          <w:ilvl w:val="0"/>
          <w:numId w:val="1"/>
        </w:numPr>
      </w:pPr>
      <w:r w:rsidRPr="0074042E">
        <w:t>Production telemetry is a crucial tool for identifying system manipulations before they escalate.</w:t>
      </w:r>
    </w:p>
    <w:p w14:paraId="17CA0644" w14:textId="77777777" w:rsidR="0074042E" w:rsidRPr="0074042E" w:rsidRDefault="0074042E" w:rsidP="00DE63E9">
      <w:pPr>
        <w:spacing w:line="480" w:lineRule="auto"/>
        <w:rPr>
          <w:b/>
          <w:bCs/>
          <w:sz w:val="28"/>
          <w:szCs w:val="28"/>
        </w:rPr>
      </w:pPr>
      <w:r w:rsidRPr="0074042E">
        <w:rPr>
          <w:b/>
          <w:bCs/>
          <w:sz w:val="28"/>
          <w:szCs w:val="28"/>
        </w:rPr>
        <w:t>Case Study 2: Proving Compliance in Regulated Environments</w:t>
      </w:r>
    </w:p>
    <w:p w14:paraId="3C5F145A" w14:textId="77777777" w:rsidR="0074042E" w:rsidRPr="0074042E" w:rsidRDefault="0074042E" w:rsidP="0074042E">
      <w:r w:rsidRPr="0074042E">
        <w:t>This case study focuses on Bill Shinn’s work with enterprise customers at Amazon Web Services (AWS) to ensure compliance in highly regulated environments. It highlights the difficulties of traditional audit practices in DevOps environments, where infrastructure is managed as code and auto-scaling dynamically adjusts server resources. Traditional audit methods, such as requesting fixed data samples and screenshots, are ineffective in these agile environments.</w:t>
      </w:r>
    </w:p>
    <w:p w14:paraId="269C9CA2" w14:textId="77777777" w:rsidR="0074042E" w:rsidRPr="0074042E" w:rsidRDefault="0074042E" w:rsidP="0074042E">
      <w:r w:rsidRPr="0074042E">
        <w:t>Shinn suggests integrating logging, chat rooms, and deployment pipeline visibility into audit processes. He emphasizes mapping engineering activities to compliance requirements, such as HIPAA regulations. His approach enables auditors to access real-time evidence through telemetry tools like Splunk or Kibana, eliminating the need for manual sample requests. The DevOps Audit Defense Toolkit also provides a structured way to link compliance controls with real-time monitoring solutions.</w:t>
      </w:r>
    </w:p>
    <w:p w14:paraId="6131C7D2" w14:textId="77777777" w:rsidR="0074042E" w:rsidRPr="0074042E" w:rsidRDefault="0074042E" w:rsidP="00DE63E9">
      <w:pPr>
        <w:spacing w:line="480" w:lineRule="auto"/>
        <w:rPr>
          <w:sz w:val="28"/>
          <w:szCs w:val="28"/>
        </w:rPr>
      </w:pPr>
      <w:r w:rsidRPr="0074042E">
        <w:rPr>
          <w:b/>
          <w:bCs/>
          <w:sz w:val="28"/>
          <w:szCs w:val="28"/>
        </w:rPr>
        <w:t>Lessons Learned:</w:t>
      </w:r>
    </w:p>
    <w:p w14:paraId="4DCB9C61" w14:textId="77777777" w:rsidR="0074042E" w:rsidRPr="0074042E" w:rsidRDefault="0074042E" w:rsidP="0074042E">
      <w:pPr>
        <w:numPr>
          <w:ilvl w:val="0"/>
          <w:numId w:val="2"/>
        </w:numPr>
      </w:pPr>
      <w:r w:rsidRPr="0074042E">
        <w:t>Traditional audit methods are ineffective in DevOps environments due to the dynamic nature of cloud infrastructure and automation.</w:t>
      </w:r>
    </w:p>
    <w:p w14:paraId="173B0DF5" w14:textId="77777777" w:rsidR="0074042E" w:rsidRPr="0074042E" w:rsidRDefault="0074042E" w:rsidP="0074042E">
      <w:pPr>
        <w:numPr>
          <w:ilvl w:val="0"/>
          <w:numId w:val="2"/>
        </w:numPr>
      </w:pPr>
      <w:r w:rsidRPr="0074042E">
        <w:t>Real-time telemetry solutions (e.g., Splunk, Kibana) offer auditors immediate access to compliance evidence, reducing manual oversight.</w:t>
      </w:r>
    </w:p>
    <w:p w14:paraId="4F9325E0" w14:textId="77777777" w:rsidR="0074042E" w:rsidRPr="0074042E" w:rsidRDefault="0074042E" w:rsidP="0074042E">
      <w:pPr>
        <w:numPr>
          <w:ilvl w:val="0"/>
          <w:numId w:val="2"/>
        </w:numPr>
      </w:pPr>
      <w:r w:rsidRPr="0074042E">
        <w:t>Integrating compliance requirements into engineering processes ensures that controls are auditable and effective.</w:t>
      </w:r>
    </w:p>
    <w:p w14:paraId="5B20F337" w14:textId="77777777" w:rsidR="0074042E" w:rsidRPr="0074042E" w:rsidRDefault="0074042E" w:rsidP="0074042E">
      <w:pPr>
        <w:numPr>
          <w:ilvl w:val="0"/>
          <w:numId w:val="2"/>
        </w:numPr>
      </w:pPr>
      <w:r w:rsidRPr="0074042E">
        <w:t>Automated compliance documentation bridges the gap between DevOps and regulatory audits, improving risk management.</w:t>
      </w:r>
    </w:p>
    <w:p w14:paraId="1A1F73F4" w14:textId="77777777" w:rsidR="0074042E" w:rsidRPr="0074042E" w:rsidRDefault="0074042E" w:rsidP="00DE63E9">
      <w:pPr>
        <w:spacing w:line="480" w:lineRule="auto"/>
        <w:rPr>
          <w:b/>
          <w:bCs/>
          <w:sz w:val="28"/>
          <w:szCs w:val="28"/>
        </w:rPr>
      </w:pPr>
      <w:r w:rsidRPr="0074042E">
        <w:rPr>
          <w:b/>
          <w:bCs/>
          <w:sz w:val="28"/>
          <w:szCs w:val="28"/>
        </w:rPr>
        <w:t>Conclusion</w:t>
      </w:r>
    </w:p>
    <w:p w14:paraId="43B00B7E" w14:textId="77777777" w:rsidR="0074042E" w:rsidRPr="0074042E" w:rsidRDefault="0074042E" w:rsidP="0074042E">
      <w:r w:rsidRPr="0074042E">
        <w:lastRenderedPageBreak/>
        <w:t>Both case studies emphasize the importance of real-time monitoring, automation, and telemetry in modern DevOps environments. While Relying on Production Telemetry for ATM Systems demonstrates how fraud detection can be improved through continuous monitoring, Proving Compliance in Regulated Environments showcases how organizations can enhance compliance auditing with automated logging and real-time access to evidence. These lessons reinforce the need for proactive security and compliance measures, reducing reliance on traditional manual reviews and enabling more efficient risk mitigation strategies.</w:t>
      </w:r>
    </w:p>
    <w:p w14:paraId="078729EF" w14:textId="77777777" w:rsidR="0074042E" w:rsidRPr="004D2DD4" w:rsidRDefault="0074042E"/>
    <w:sectPr w:rsidR="0074042E" w:rsidRPr="004D2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B61AD0"/>
    <w:multiLevelType w:val="multilevel"/>
    <w:tmpl w:val="C520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CA6D3D"/>
    <w:multiLevelType w:val="multilevel"/>
    <w:tmpl w:val="184C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55604">
    <w:abstractNumId w:val="1"/>
  </w:num>
  <w:num w:numId="2" w16cid:durableId="135561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2E"/>
    <w:rsid w:val="00164977"/>
    <w:rsid w:val="00343B13"/>
    <w:rsid w:val="004D2DD4"/>
    <w:rsid w:val="005E16AA"/>
    <w:rsid w:val="0074042E"/>
    <w:rsid w:val="00892AD4"/>
    <w:rsid w:val="008A515C"/>
    <w:rsid w:val="00A30BAD"/>
    <w:rsid w:val="00A61D5E"/>
    <w:rsid w:val="00C12FFF"/>
    <w:rsid w:val="00CD5508"/>
    <w:rsid w:val="00DE63E9"/>
    <w:rsid w:val="00ED0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259C6"/>
  <w15:chartTrackingRefBased/>
  <w15:docId w15:val="{1188018E-32CF-465B-BE22-21BBE066C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4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04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04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04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4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4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4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4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4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4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04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04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04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4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4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4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4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42E"/>
    <w:rPr>
      <w:rFonts w:eastAsiaTheme="majorEastAsia" w:cstheme="majorBidi"/>
      <w:color w:val="272727" w:themeColor="text1" w:themeTint="D8"/>
    </w:rPr>
  </w:style>
  <w:style w:type="paragraph" w:styleId="Title">
    <w:name w:val="Title"/>
    <w:basedOn w:val="Normal"/>
    <w:next w:val="Normal"/>
    <w:link w:val="TitleChar"/>
    <w:uiPriority w:val="10"/>
    <w:qFormat/>
    <w:rsid w:val="007404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4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4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4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42E"/>
    <w:pPr>
      <w:spacing w:before="160"/>
      <w:jc w:val="center"/>
    </w:pPr>
    <w:rPr>
      <w:i/>
      <w:iCs/>
      <w:color w:val="404040" w:themeColor="text1" w:themeTint="BF"/>
    </w:rPr>
  </w:style>
  <w:style w:type="character" w:customStyle="1" w:styleId="QuoteChar">
    <w:name w:val="Quote Char"/>
    <w:basedOn w:val="DefaultParagraphFont"/>
    <w:link w:val="Quote"/>
    <w:uiPriority w:val="29"/>
    <w:rsid w:val="0074042E"/>
    <w:rPr>
      <w:i/>
      <w:iCs/>
      <w:color w:val="404040" w:themeColor="text1" w:themeTint="BF"/>
    </w:rPr>
  </w:style>
  <w:style w:type="paragraph" w:styleId="ListParagraph">
    <w:name w:val="List Paragraph"/>
    <w:basedOn w:val="Normal"/>
    <w:uiPriority w:val="34"/>
    <w:qFormat/>
    <w:rsid w:val="0074042E"/>
    <w:pPr>
      <w:ind w:left="720"/>
      <w:contextualSpacing/>
    </w:pPr>
  </w:style>
  <w:style w:type="character" w:styleId="IntenseEmphasis">
    <w:name w:val="Intense Emphasis"/>
    <w:basedOn w:val="DefaultParagraphFont"/>
    <w:uiPriority w:val="21"/>
    <w:qFormat/>
    <w:rsid w:val="0074042E"/>
    <w:rPr>
      <w:i/>
      <w:iCs/>
      <w:color w:val="0F4761" w:themeColor="accent1" w:themeShade="BF"/>
    </w:rPr>
  </w:style>
  <w:style w:type="paragraph" w:styleId="IntenseQuote">
    <w:name w:val="Intense Quote"/>
    <w:basedOn w:val="Normal"/>
    <w:next w:val="Normal"/>
    <w:link w:val="IntenseQuoteChar"/>
    <w:uiPriority w:val="30"/>
    <w:qFormat/>
    <w:rsid w:val="007404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42E"/>
    <w:rPr>
      <w:i/>
      <w:iCs/>
      <w:color w:val="0F4761" w:themeColor="accent1" w:themeShade="BF"/>
    </w:rPr>
  </w:style>
  <w:style w:type="character" w:styleId="IntenseReference">
    <w:name w:val="Intense Reference"/>
    <w:basedOn w:val="DefaultParagraphFont"/>
    <w:uiPriority w:val="32"/>
    <w:qFormat/>
    <w:rsid w:val="007404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2668167">
      <w:bodyDiv w:val="1"/>
      <w:marLeft w:val="0"/>
      <w:marRight w:val="0"/>
      <w:marTop w:val="0"/>
      <w:marBottom w:val="0"/>
      <w:divBdr>
        <w:top w:val="none" w:sz="0" w:space="0" w:color="auto"/>
        <w:left w:val="none" w:sz="0" w:space="0" w:color="auto"/>
        <w:bottom w:val="none" w:sz="0" w:space="0" w:color="auto"/>
        <w:right w:val="none" w:sz="0" w:space="0" w:color="auto"/>
      </w:divBdr>
    </w:div>
    <w:div w:id="148689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567</Words>
  <Characters>3699</Characters>
  <Application>Microsoft Office Word</Application>
  <DocSecurity>0</DocSecurity>
  <Lines>64</Lines>
  <Paragraphs>27</Paragraphs>
  <ScaleCrop>false</ScaleCrop>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Melendez</dc:creator>
  <cp:keywords/>
  <dc:description/>
  <cp:lastModifiedBy>Andres Melendez</cp:lastModifiedBy>
  <cp:revision>6</cp:revision>
  <dcterms:created xsi:type="dcterms:W3CDTF">2025-03-09T02:53:00Z</dcterms:created>
  <dcterms:modified xsi:type="dcterms:W3CDTF">2025-03-09T21:04:00Z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6f965ba9-8bee-4ad5-8e05-503de17ee610</vt:lpwstr>
  </property>
</Properties>
</file>