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A674" w14:textId="4BDCC957" w:rsidR="00892AD4" w:rsidRDefault="008342A8" w:rsidP="008342A8">
      <w:pPr>
        <w:spacing w:line="480" w:lineRule="auto"/>
        <w:rPr>
          <w:sz w:val="24"/>
          <w:szCs w:val="24"/>
        </w:rPr>
      </w:pPr>
      <w:r w:rsidRPr="008342A8">
        <w:rPr>
          <w:sz w:val="24"/>
          <w:szCs w:val="24"/>
        </w:rPr>
        <w:t>Andres Melendez</w:t>
      </w:r>
    </w:p>
    <w:p w14:paraId="56268A5B" w14:textId="3787E337" w:rsidR="008342A8" w:rsidRDefault="008342A8" w:rsidP="008342A8">
      <w:pPr>
        <w:spacing w:line="480" w:lineRule="auto"/>
        <w:rPr>
          <w:sz w:val="24"/>
          <w:szCs w:val="24"/>
        </w:rPr>
      </w:pPr>
      <w:r>
        <w:rPr>
          <w:sz w:val="24"/>
          <w:szCs w:val="24"/>
        </w:rPr>
        <w:t>CSD 380</w:t>
      </w:r>
    </w:p>
    <w:p w14:paraId="5C31A3D7" w14:textId="0C72B4D9" w:rsidR="008342A8" w:rsidRDefault="008342A8" w:rsidP="008342A8">
      <w:pPr>
        <w:spacing w:line="480" w:lineRule="auto"/>
        <w:rPr>
          <w:sz w:val="24"/>
          <w:szCs w:val="24"/>
        </w:rPr>
      </w:pPr>
      <w:r>
        <w:rPr>
          <w:sz w:val="24"/>
          <w:szCs w:val="24"/>
        </w:rPr>
        <w:t>1 / 16 / 2025</w:t>
      </w:r>
    </w:p>
    <w:p w14:paraId="2ED5593B" w14:textId="77777777" w:rsidR="008342A8" w:rsidRPr="008342A8" w:rsidRDefault="008342A8" w:rsidP="008342A8">
      <w:pPr>
        <w:spacing w:line="480" w:lineRule="auto"/>
        <w:rPr>
          <w:b/>
          <w:bCs/>
          <w:sz w:val="28"/>
          <w:szCs w:val="28"/>
        </w:rPr>
      </w:pPr>
      <w:r w:rsidRPr="008342A8">
        <w:rPr>
          <w:b/>
          <w:bCs/>
          <w:sz w:val="28"/>
          <w:szCs w:val="28"/>
        </w:rPr>
        <w:t>Summary of the Main Points</w:t>
      </w:r>
    </w:p>
    <w:p w14:paraId="49CD0034" w14:textId="30184C27" w:rsidR="008342A8" w:rsidRPr="008342A8" w:rsidRDefault="008342A8" w:rsidP="00702CB3">
      <w:pPr>
        <w:spacing w:line="480" w:lineRule="auto"/>
        <w:ind w:firstLine="720"/>
        <w:rPr>
          <w:sz w:val="24"/>
          <w:szCs w:val="24"/>
        </w:rPr>
      </w:pPr>
      <w:r w:rsidRPr="008342A8">
        <w:rPr>
          <w:sz w:val="24"/>
          <w:szCs w:val="24"/>
        </w:rPr>
        <w:t>Operation InVersion at LinkedIn (2011) exemplifies the importance of addressing technical debt to ensure long-term stability and scalability. Following its 2011 IPO, LinkedIn faced severe issues with its monolithic Java application, Leo, which struggled to handle increasing traffic and feature updates. Despite temporary measures like scaling hardware, Leo frequently crashed, was difficult to troubleshoot, and impeded new feature development. By 2010, most development had shifted to independent services, but Leo's issues persisted.</w:t>
      </w:r>
    </w:p>
    <w:p w14:paraId="588DA793" w14:textId="77777777" w:rsidR="008342A8" w:rsidRPr="008342A8" w:rsidRDefault="008342A8" w:rsidP="00750FB6">
      <w:pPr>
        <w:spacing w:line="480" w:lineRule="auto"/>
        <w:ind w:firstLine="720"/>
        <w:rPr>
          <w:sz w:val="24"/>
          <w:szCs w:val="24"/>
        </w:rPr>
      </w:pPr>
      <w:r w:rsidRPr="008342A8">
        <w:rPr>
          <w:sz w:val="24"/>
          <w:szCs w:val="24"/>
        </w:rPr>
        <w:t>In response, Kevin Scott, LinkedIn's VP of Engineering, launched Operation InVersion in 2011, pausing all feature development for two months to overhaul the site's architecture, deployments, and tools. This bold decision was risky, given LinkedIn's visibility as a newly public company, but it proved transformative. The initiative resulted in new tools and systems, enabling automated testing and continuous deployment. By the end of the project, LinkedIn engineers could deploy updates multiple times a day, significantly improving productivity and reliability.</w:t>
      </w:r>
    </w:p>
    <w:p w14:paraId="4D62A6B1" w14:textId="77777777" w:rsidR="008342A8" w:rsidRPr="008342A8" w:rsidRDefault="008342A8" w:rsidP="00750FB6">
      <w:pPr>
        <w:spacing w:line="480" w:lineRule="auto"/>
        <w:ind w:firstLine="720"/>
        <w:rPr>
          <w:sz w:val="24"/>
          <w:szCs w:val="24"/>
        </w:rPr>
      </w:pPr>
      <w:r w:rsidRPr="008342A8">
        <w:rPr>
          <w:sz w:val="24"/>
          <w:szCs w:val="24"/>
        </w:rPr>
        <w:lastRenderedPageBreak/>
        <w:t>LinkedIn's engineering culture shifted towards prioritizing stability, scalability, and long-term agility. The company expanded from 150 services in 2010 to over 750 in later years, laying the foundation for sustained growth.</w:t>
      </w:r>
    </w:p>
    <w:p w14:paraId="5CA1AA8B" w14:textId="77777777" w:rsidR="008342A8" w:rsidRPr="008342A8" w:rsidRDefault="008342A8" w:rsidP="008342A8">
      <w:pPr>
        <w:spacing w:line="480" w:lineRule="auto"/>
        <w:rPr>
          <w:b/>
          <w:bCs/>
          <w:sz w:val="28"/>
          <w:szCs w:val="28"/>
        </w:rPr>
      </w:pPr>
      <w:r w:rsidRPr="008342A8">
        <w:rPr>
          <w:b/>
          <w:bCs/>
          <w:sz w:val="28"/>
          <w:szCs w:val="28"/>
        </w:rPr>
        <w:t>Lessons Learned</w:t>
      </w:r>
    </w:p>
    <w:p w14:paraId="411872F5" w14:textId="77777777" w:rsidR="008342A8" w:rsidRPr="008342A8" w:rsidRDefault="008342A8" w:rsidP="008342A8">
      <w:pPr>
        <w:numPr>
          <w:ilvl w:val="0"/>
          <w:numId w:val="1"/>
        </w:numPr>
        <w:spacing w:line="480" w:lineRule="auto"/>
        <w:rPr>
          <w:sz w:val="24"/>
          <w:szCs w:val="24"/>
        </w:rPr>
      </w:pPr>
      <w:r w:rsidRPr="008342A8">
        <w:rPr>
          <w:b/>
          <w:bCs/>
          <w:sz w:val="24"/>
          <w:szCs w:val="24"/>
        </w:rPr>
        <w:t>Addressing Technical Debt is Crucial</w:t>
      </w:r>
      <w:r w:rsidRPr="008342A8">
        <w:rPr>
          <w:sz w:val="24"/>
          <w:szCs w:val="24"/>
        </w:rPr>
        <w:t>: Proactively managing technical debt prevents catastrophic failures and fosters innovation.</w:t>
      </w:r>
    </w:p>
    <w:p w14:paraId="61FF0063" w14:textId="786A0E98" w:rsidR="008342A8" w:rsidRPr="008342A8" w:rsidRDefault="008342A8" w:rsidP="008342A8">
      <w:pPr>
        <w:numPr>
          <w:ilvl w:val="0"/>
          <w:numId w:val="1"/>
        </w:numPr>
        <w:spacing w:line="480" w:lineRule="auto"/>
        <w:rPr>
          <w:sz w:val="24"/>
          <w:szCs w:val="24"/>
        </w:rPr>
      </w:pPr>
      <w:r w:rsidRPr="008342A8">
        <w:rPr>
          <w:b/>
          <w:bCs/>
          <w:sz w:val="24"/>
          <w:szCs w:val="24"/>
        </w:rPr>
        <w:t>Cultural Transformation is Essential</w:t>
      </w:r>
      <w:r w:rsidRPr="008342A8">
        <w:rPr>
          <w:sz w:val="24"/>
          <w:szCs w:val="24"/>
        </w:rPr>
        <w:t xml:space="preserve">: Scott's leadership </w:t>
      </w:r>
      <w:r>
        <w:rPr>
          <w:sz w:val="24"/>
          <w:szCs w:val="24"/>
        </w:rPr>
        <w:t>focused</w:t>
      </w:r>
      <w:r w:rsidRPr="008342A8">
        <w:rPr>
          <w:sz w:val="24"/>
          <w:szCs w:val="24"/>
        </w:rPr>
        <w:t xml:space="preserve"> on long-term goals over short-term feature development.</w:t>
      </w:r>
    </w:p>
    <w:p w14:paraId="0EBEB893" w14:textId="77777777" w:rsidR="008342A8" w:rsidRPr="008342A8" w:rsidRDefault="008342A8" w:rsidP="008342A8">
      <w:pPr>
        <w:numPr>
          <w:ilvl w:val="0"/>
          <w:numId w:val="1"/>
        </w:numPr>
        <w:spacing w:line="480" w:lineRule="auto"/>
        <w:rPr>
          <w:sz w:val="24"/>
          <w:szCs w:val="24"/>
        </w:rPr>
      </w:pPr>
      <w:r w:rsidRPr="008342A8">
        <w:rPr>
          <w:b/>
          <w:bCs/>
          <w:sz w:val="24"/>
          <w:szCs w:val="24"/>
        </w:rPr>
        <w:t>Investing in Infrastructure Pays Off</w:t>
      </w:r>
      <w:r w:rsidRPr="008342A8">
        <w:rPr>
          <w:sz w:val="24"/>
          <w:szCs w:val="24"/>
        </w:rPr>
        <w:t>: Building robust tools and processes enabled continuous deployment and organizational scalability.</w:t>
      </w:r>
    </w:p>
    <w:p w14:paraId="45BB9460" w14:textId="77777777" w:rsidR="008342A8" w:rsidRPr="008342A8" w:rsidRDefault="008342A8" w:rsidP="008342A8">
      <w:pPr>
        <w:numPr>
          <w:ilvl w:val="0"/>
          <w:numId w:val="1"/>
        </w:numPr>
        <w:spacing w:line="480" w:lineRule="auto"/>
        <w:rPr>
          <w:sz w:val="24"/>
          <w:szCs w:val="24"/>
        </w:rPr>
      </w:pPr>
      <w:r w:rsidRPr="008342A8">
        <w:rPr>
          <w:b/>
          <w:bCs/>
          <w:sz w:val="24"/>
          <w:szCs w:val="24"/>
        </w:rPr>
        <w:t>Bold Decisions Can Yield Long-term Benefits</w:t>
      </w:r>
      <w:r w:rsidRPr="008342A8">
        <w:rPr>
          <w:sz w:val="24"/>
          <w:szCs w:val="24"/>
        </w:rPr>
        <w:t>: Halting new development during critical periods can lead to better outcomes, even if initially controversial.</w:t>
      </w:r>
    </w:p>
    <w:p w14:paraId="483810D3" w14:textId="77777777" w:rsidR="008342A8" w:rsidRPr="008342A8" w:rsidRDefault="008342A8" w:rsidP="008342A8">
      <w:pPr>
        <w:numPr>
          <w:ilvl w:val="0"/>
          <w:numId w:val="1"/>
        </w:numPr>
        <w:spacing w:line="480" w:lineRule="auto"/>
        <w:rPr>
          <w:sz w:val="24"/>
          <w:szCs w:val="24"/>
        </w:rPr>
      </w:pPr>
      <w:r w:rsidRPr="008342A8">
        <w:rPr>
          <w:b/>
          <w:bCs/>
          <w:sz w:val="24"/>
          <w:szCs w:val="24"/>
        </w:rPr>
        <w:t>Engineering Teams Must Align with Business Goals</w:t>
      </w:r>
      <w:r w:rsidRPr="008342A8">
        <w:rPr>
          <w:sz w:val="24"/>
          <w:szCs w:val="24"/>
        </w:rPr>
        <w:t>: Effective engineering practices should support the company's broader objectives and competitive edge.</w:t>
      </w:r>
    </w:p>
    <w:p w14:paraId="0294FDA0" w14:textId="77777777" w:rsidR="008342A8" w:rsidRDefault="008342A8" w:rsidP="00750FB6">
      <w:pPr>
        <w:spacing w:line="480" w:lineRule="auto"/>
        <w:ind w:firstLine="360"/>
        <w:rPr>
          <w:sz w:val="24"/>
          <w:szCs w:val="24"/>
        </w:rPr>
      </w:pPr>
      <w:r w:rsidRPr="008342A8">
        <w:rPr>
          <w:sz w:val="24"/>
          <w:szCs w:val="24"/>
        </w:rPr>
        <w:t>LinkedIn's case demonstrates the importance of balancing immediate pressures with strategic initiatives for sustainable success.</w:t>
      </w:r>
    </w:p>
    <w:p w14:paraId="3113AD31" w14:textId="77777777" w:rsidR="008342A8" w:rsidRDefault="008342A8">
      <w:pPr>
        <w:rPr>
          <w:sz w:val="24"/>
          <w:szCs w:val="24"/>
        </w:rPr>
      </w:pPr>
      <w:r>
        <w:rPr>
          <w:sz w:val="24"/>
          <w:szCs w:val="24"/>
        </w:rPr>
        <w:br w:type="page"/>
      </w:r>
    </w:p>
    <w:p w14:paraId="2AC004A7" w14:textId="77777777" w:rsidR="008342A8" w:rsidRPr="008342A8" w:rsidRDefault="008342A8" w:rsidP="008342A8">
      <w:pPr>
        <w:spacing w:line="480" w:lineRule="auto"/>
        <w:rPr>
          <w:b/>
          <w:bCs/>
          <w:sz w:val="28"/>
          <w:szCs w:val="28"/>
        </w:rPr>
      </w:pPr>
      <w:r w:rsidRPr="008342A8">
        <w:rPr>
          <w:b/>
          <w:bCs/>
          <w:sz w:val="28"/>
          <w:szCs w:val="28"/>
        </w:rPr>
        <w:lastRenderedPageBreak/>
        <w:t>Resources</w:t>
      </w:r>
    </w:p>
    <w:p w14:paraId="76B72916" w14:textId="194C9A16" w:rsidR="008342A8" w:rsidRPr="008342A8" w:rsidRDefault="008342A8" w:rsidP="008342A8">
      <w:pPr>
        <w:spacing w:line="480" w:lineRule="auto"/>
        <w:rPr>
          <w:sz w:val="24"/>
          <w:szCs w:val="24"/>
        </w:rPr>
      </w:pPr>
      <w:r w:rsidRPr="008342A8">
        <w:rPr>
          <w:sz w:val="24"/>
          <w:szCs w:val="24"/>
        </w:rPr>
        <w:t xml:space="preserve">Kim, G., Humble, J., Debois, P., Willis, J., &amp; </w:t>
      </w:r>
      <w:proofErr w:type="spellStart"/>
      <w:r w:rsidRPr="008342A8">
        <w:rPr>
          <w:sz w:val="24"/>
          <w:szCs w:val="24"/>
        </w:rPr>
        <w:t>Allspaw</w:t>
      </w:r>
      <w:proofErr w:type="spellEnd"/>
      <w:r w:rsidRPr="008342A8">
        <w:rPr>
          <w:sz w:val="24"/>
          <w:szCs w:val="24"/>
        </w:rPr>
        <w:t xml:space="preserve">, J. (2016). </w:t>
      </w:r>
      <w:r w:rsidRPr="008342A8">
        <w:rPr>
          <w:i/>
          <w:iCs/>
          <w:sz w:val="24"/>
          <w:szCs w:val="24"/>
        </w:rPr>
        <w:t>The DevOps handbook: How to create world-class agility, reliability, &amp; security in technology organizations</w:t>
      </w:r>
      <w:r w:rsidRPr="008342A8">
        <w:rPr>
          <w:sz w:val="24"/>
          <w:szCs w:val="24"/>
        </w:rPr>
        <w:t xml:space="preserve"> (2nd ed.). IT Revolution Press.</w:t>
      </w:r>
    </w:p>
    <w:sectPr w:rsidR="008342A8" w:rsidRPr="0083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96714"/>
    <w:multiLevelType w:val="multilevel"/>
    <w:tmpl w:val="903C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91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A8"/>
    <w:rsid w:val="00164977"/>
    <w:rsid w:val="003665FD"/>
    <w:rsid w:val="005E16AA"/>
    <w:rsid w:val="00702CB3"/>
    <w:rsid w:val="00750FB6"/>
    <w:rsid w:val="008342A8"/>
    <w:rsid w:val="00892AD4"/>
    <w:rsid w:val="00BB4E33"/>
    <w:rsid w:val="00C12FFF"/>
    <w:rsid w:val="00C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4C250"/>
  <w15:chartTrackingRefBased/>
  <w15:docId w15:val="{12EF635E-EA0B-456C-B11C-BF5D7C94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2A8"/>
    <w:rPr>
      <w:rFonts w:eastAsiaTheme="majorEastAsia" w:cstheme="majorBidi"/>
      <w:color w:val="272727" w:themeColor="text1" w:themeTint="D8"/>
    </w:rPr>
  </w:style>
  <w:style w:type="paragraph" w:styleId="Title">
    <w:name w:val="Title"/>
    <w:basedOn w:val="Normal"/>
    <w:next w:val="Normal"/>
    <w:link w:val="TitleChar"/>
    <w:uiPriority w:val="10"/>
    <w:qFormat/>
    <w:rsid w:val="00834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2A8"/>
    <w:pPr>
      <w:spacing w:before="160"/>
      <w:jc w:val="center"/>
    </w:pPr>
    <w:rPr>
      <w:i/>
      <w:iCs/>
      <w:color w:val="404040" w:themeColor="text1" w:themeTint="BF"/>
    </w:rPr>
  </w:style>
  <w:style w:type="character" w:customStyle="1" w:styleId="QuoteChar">
    <w:name w:val="Quote Char"/>
    <w:basedOn w:val="DefaultParagraphFont"/>
    <w:link w:val="Quote"/>
    <w:uiPriority w:val="29"/>
    <w:rsid w:val="008342A8"/>
    <w:rPr>
      <w:i/>
      <w:iCs/>
      <w:color w:val="404040" w:themeColor="text1" w:themeTint="BF"/>
    </w:rPr>
  </w:style>
  <w:style w:type="paragraph" w:styleId="ListParagraph">
    <w:name w:val="List Paragraph"/>
    <w:basedOn w:val="Normal"/>
    <w:uiPriority w:val="34"/>
    <w:qFormat/>
    <w:rsid w:val="008342A8"/>
    <w:pPr>
      <w:ind w:left="720"/>
      <w:contextualSpacing/>
    </w:pPr>
  </w:style>
  <w:style w:type="character" w:styleId="IntenseEmphasis">
    <w:name w:val="Intense Emphasis"/>
    <w:basedOn w:val="DefaultParagraphFont"/>
    <w:uiPriority w:val="21"/>
    <w:qFormat/>
    <w:rsid w:val="008342A8"/>
    <w:rPr>
      <w:i/>
      <w:iCs/>
      <w:color w:val="0F4761" w:themeColor="accent1" w:themeShade="BF"/>
    </w:rPr>
  </w:style>
  <w:style w:type="paragraph" w:styleId="IntenseQuote">
    <w:name w:val="Intense Quote"/>
    <w:basedOn w:val="Normal"/>
    <w:next w:val="Normal"/>
    <w:link w:val="IntenseQuoteChar"/>
    <w:uiPriority w:val="30"/>
    <w:qFormat/>
    <w:rsid w:val="00834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2A8"/>
    <w:rPr>
      <w:i/>
      <w:iCs/>
      <w:color w:val="0F4761" w:themeColor="accent1" w:themeShade="BF"/>
    </w:rPr>
  </w:style>
  <w:style w:type="character" w:styleId="IntenseReference">
    <w:name w:val="Intense Reference"/>
    <w:basedOn w:val="DefaultParagraphFont"/>
    <w:uiPriority w:val="32"/>
    <w:qFormat/>
    <w:rsid w:val="00834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215532">
      <w:bodyDiv w:val="1"/>
      <w:marLeft w:val="0"/>
      <w:marRight w:val="0"/>
      <w:marTop w:val="0"/>
      <w:marBottom w:val="0"/>
      <w:divBdr>
        <w:top w:val="none" w:sz="0" w:space="0" w:color="auto"/>
        <w:left w:val="none" w:sz="0" w:space="0" w:color="auto"/>
        <w:bottom w:val="none" w:sz="0" w:space="0" w:color="auto"/>
        <w:right w:val="none" w:sz="0" w:space="0" w:color="auto"/>
      </w:divBdr>
    </w:div>
    <w:div w:id="110745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333</Words>
  <Characters>2116</Characters>
  <Application>Microsoft Office Word</Application>
  <DocSecurity>0</DocSecurity>
  <Lines>39</Lines>
  <Paragraphs>18</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3</cp:revision>
  <dcterms:created xsi:type="dcterms:W3CDTF">2025-01-17T01:10:00Z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085e16ea-0ae5-4718-8235-521f24b73381</vt:lpwstr>
  </property>
</Properties>
</file>