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3631E" w14:textId="628807A7" w:rsidR="00892AD4" w:rsidRDefault="00B93390" w:rsidP="00B93390">
      <w:pPr>
        <w:spacing w:line="480" w:lineRule="auto"/>
        <w:rPr>
          <w:sz w:val="24"/>
          <w:szCs w:val="24"/>
        </w:rPr>
      </w:pPr>
      <w:r>
        <w:rPr>
          <w:sz w:val="24"/>
          <w:szCs w:val="24"/>
        </w:rPr>
        <w:t>Andres Melendez</w:t>
      </w:r>
    </w:p>
    <w:p w14:paraId="1BA21A50" w14:textId="7CF6F977" w:rsidR="00B93390" w:rsidRDefault="00B93390" w:rsidP="00B93390">
      <w:pPr>
        <w:spacing w:line="480" w:lineRule="auto"/>
        <w:rPr>
          <w:sz w:val="24"/>
          <w:szCs w:val="24"/>
        </w:rPr>
      </w:pPr>
      <w:r>
        <w:rPr>
          <w:sz w:val="24"/>
          <w:szCs w:val="24"/>
        </w:rPr>
        <w:t>DSC 350</w:t>
      </w:r>
    </w:p>
    <w:p w14:paraId="42BEC0BB" w14:textId="417E5E4A" w:rsidR="00B93390" w:rsidRDefault="00B93390" w:rsidP="00B93390">
      <w:pPr>
        <w:spacing w:line="480" w:lineRule="auto"/>
        <w:rPr>
          <w:sz w:val="24"/>
          <w:szCs w:val="24"/>
        </w:rPr>
      </w:pPr>
      <w:r>
        <w:rPr>
          <w:sz w:val="24"/>
          <w:szCs w:val="24"/>
        </w:rPr>
        <w:t>11 / 15 / 2024</w:t>
      </w:r>
    </w:p>
    <w:p w14:paraId="35F8D3EE" w14:textId="25E72E4D" w:rsidR="00B93390" w:rsidRPr="00B93390" w:rsidRDefault="00B93390" w:rsidP="00B93390">
      <w:pPr>
        <w:spacing w:line="480" w:lineRule="auto"/>
        <w:jc w:val="center"/>
        <w:rPr>
          <w:b/>
          <w:bCs/>
          <w:sz w:val="28"/>
          <w:szCs w:val="28"/>
        </w:rPr>
      </w:pPr>
      <w:r w:rsidRPr="00B93390">
        <w:rPr>
          <w:b/>
          <w:bCs/>
          <w:sz w:val="28"/>
          <w:szCs w:val="28"/>
        </w:rPr>
        <w:t>The Ethical Impacts of Transforming Data and Building Trust in the Era of Misinformation</w:t>
      </w:r>
    </w:p>
    <w:p w14:paraId="037C0BA0" w14:textId="48D6B8D0" w:rsidR="00B93390" w:rsidRPr="00B93390" w:rsidRDefault="00B93390" w:rsidP="00B93390">
      <w:pPr>
        <w:spacing w:line="480" w:lineRule="auto"/>
        <w:ind w:firstLine="720"/>
        <w:rPr>
          <w:sz w:val="24"/>
          <w:szCs w:val="24"/>
        </w:rPr>
      </w:pPr>
      <w:r w:rsidRPr="00B93390">
        <w:rPr>
          <w:sz w:val="24"/>
          <w:szCs w:val="24"/>
        </w:rPr>
        <w:t>In today's digital landscape, misinformation proliferates rapidly, often stemming from misrepresented or misunderstood data. A notable example is the persistent myth that humans use only 10% of their brains—a claim debunked by neuroscientific research yet still prevalent in popular culture. Such misconceptions underscore the ethical responsibilities of data professionals in ensuring accurate data representation. This paper explores the ethical challenges associated with data transformation, emphasizing the importance of transparency, accuracy, and education in fostering trust while maintaining moral integrity.</w:t>
      </w:r>
    </w:p>
    <w:p w14:paraId="4DC0F0F5" w14:textId="7DE8C436" w:rsidR="00B93390" w:rsidRPr="00B93390" w:rsidRDefault="00B93390" w:rsidP="00B93390">
      <w:pPr>
        <w:spacing w:line="480" w:lineRule="auto"/>
        <w:rPr>
          <w:b/>
          <w:bCs/>
          <w:sz w:val="28"/>
          <w:szCs w:val="28"/>
        </w:rPr>
      </w:pPr>
      <w:r w:rsidRPr="00B93390">
        <w:rPr>
          <w:b/>
          <w:bCs/>
          <w:sz w:val="28"/>
          <w:szCs w:val="28"/>
        </w:rPr>
        <w:t>The Ethical Impact of Transforming Data</w:t>
      </w:r>
    </w:p>
    <w:p w14:paraId="1073DFDE" w14:textId="77777777" w:rsidR="00B93390" w:rsidRPr="00B93390" w:rsidRDefault="00B93390" w:rsidP="00B93390">
      <w:pPr>
        <w:spacing w:line="480" w:lineRule="auto"/>
        <w:ind w:firstLine="720"/>
        <w:rPr>
          <w:sz w:val="24"/>
          <w:szCs w:val="24"/>
        </w:rPr>
      </w:pPr>
      <w:r w:rsidRPr="00B93390">
        <w:rPr>
          <w:sz w:val="24"/>
          <w:szCs w:val="24"/>
        </w:rPr>
        <w:t>Data transformation is integral to analysis but can lead to ethical dilemmas when misapplied. For instance, aggregating data without proper context can result in misleading conclusions. In organizational settings, manipulating visualizations—such as altering axis scales on graphs—can exaggerate trends, potentially deceiving stakeholders. On a societal level, oversimplified data presentations can perpetuate myths or reinforce stereotypes, as seen in misrepresented crime statistics or health information.</w:t>
      </w:r>
    </w:p>
    <w:p w14:paraId="4860089C" w14:textId="77777777" w:rsidR="00B93390" w:rsidRPr="00B93390" w:rsidRDefault="00B93390" w:rsidP="00B93390">
      <w:pPr>
        <w:spacing w:line="480" w:lineRule="auto"/>
        <w:ind w:firstLine="720"/>
        <w:rPr>
          <w:sz w:val="24"/>
          <w:szCs w:val="24"/>
        </w:rPr>
      </w:pPr>
      <w:r w:rsidRPr="00B93390">
        <w:rPr>
          <w:sz w:val="24"/>
          <w:szCs w:val="24"/>
        </w:rPr>
        <w:lastRenderedPageBreak/>
        <w:t>Within families, distorted data can erode trust in institutions and influence personal decisions. For example, the widespread belief in the 10% brain usage myth has led some to invest in dubious products or programs claiming to unlock untapped mental potential, diverting resources from evidence-based practices. The ethical implications of such misinformation include diminished trust in credible data sources and increased difficulty distinguishing factual information from falsehoods.</w:t>
      </w:r>
    </w:p>
    <w:p w14:paraId="27373505" w14:textId="77777777" w:rsidR="00B93390" w:rsidRPr="00B93390" w:rsidRDefault="00B93390" w:rsidP="00B93390">
      <w:pPr>
        <w:spacing w:line="480" w:lineRule="auto"/>
        <w:rPr>
          <w:sz w:val="28"/>
          <w:szCs w:val="28"/>
        </w:rPr>
      </w:pPr>
      <w:r w:rsidRPr="00B93390">
        <w:rPr>
          <w:b/>
          <w:bCs/>
          <w:sz w:val="28"/>
          <w:szCs w:val="28"/>
        </w:rPr>
        <w:t>Ensuring Trust and Integrity in Data</w:t>
      </w:r>
    </w:p>
    <w:p w14:paraId="0BF9CD52" w14:textId="77777777" w:rsidR="00B93390" w:rsidRPr="00B93390" w:rsidRDefault="00B93390" w:rsidP="00B93390">
      <w:pPr>
        <w:spacing w:line="480" w:lineRule="auto"/>
        <w:ind w:firstLine="720"/>
        <w:rPr>
          <w:sz w:val="24"/>
          <w:szCs w:val="24"/>
        </w:rPr>
      </w:pPr>
      <w:r w:rsidRPr="00B93390">
        <w:rPr>
          <w:sz w:val="24"/>
          <w:szCs w:val="24"/>
        </w:rPr>
        <w:t>Maintaining trust necessitates a commitment to transparency. Data professionals should meticulously document methodologies, explaining data transformations and visualizations clearly. Implementing peer review processes and ensuring reproducibility are essential for verifying the accuracy of analyses. Adhering to ethical frameworks, such as the FAIR (Findable, Accessible, Interoperable, and Reusable) data principles, can guide organizations toward responsible data stewardship.</w:t>
      </w:r>
    </w:p>
    <w:p w14:paraId="094687BA" w14:textId="77A8DC28" w:rsidR="00B93390" w:rsidRPr="00B93390" w:rsidRDefault="00B93390" w:rsidP="00B93390">
      <w:pPr>
        <w:spacing w:line="480" w:lineRule="auto"/>
        <w:ind w:firstLine="720"/>
        <w:rPr>
          <w:sz w:val="24"/>
          <w:szCs w:val="24"/>
        </w:rPr>
      </w:pPr>
      <w:r w:rsidRPr="00B93390">
        <w:rPr>
          <w:sz w:val="24"/>
          <w:szCs w:val="24"/>
        </w:rPr>
        <w:t xml:space="preserve">Avoiding manipulative transformations is crucial. Practices like selectively omitting outliers, using misleading scales, or cherry-picking favorable data should be explicitly avoided. Instead, presenting a balanced </w:t>
      </w:r>
      <w:r w:rsidRPr="00B93390">
        <w:rPr>
          <w:sz w:val="24"/>
          <w:szCs w:val="24"/>
        </w:rPr>
        <w:t xml:space="preserve">view, </w:t>
      </w:r>
      <w:r w:rsidRPr="00B93390">
        <w:rPr>
          <w:sz w:val="24"/>
          <w:szCs w:val="24"/>
        </w:rPr>
        <w:t xml:space="preserve">including uncertainties and </w:t>
      </w:r>
      <w:r w:rsidRPr="00B93390">
        <w:rPr>
          <w:sz w:val="24"/>
          <w:szCs w:val="24"/>
        </w:rPr>
        <w:t xml:space="preserve">limitations, </w:t>
      </w:r>
      <w:r w:rsidRPr="00B93390">
        <w:rPr>
          <w:sz w:val="24"/>
          <w:szCs w:val="24"/>
        </w:rPr>
        <w:t>fosters trust and encourages informed decision-making.</w:t>
      </w:r>
    </w:p>
    <w:p w14:paraId="71D1A23D" w14:textId="77777777" w:rsidR="00B93390" w:rsidRPr="00B93390" w:rsidRDefault="00B93390" w:rsidP="00B93390">
      <w:pPr>
        <w:spacing w:line="480" w:lineRule="auto"/>
        <w:rPr>
          <w:sz w:val="28"/>
          <w:szCs w:val="28"/>
        </w:rPr>
      </w:pPr>
      <w:r w:rsidRPr="00B93390">
        <w:rPr>
          <w:b/>
          <w:bCs/>
          <w:sz w:val="28"/>
          <w:szCs w:val="28"/>
        </w:rPr>
        <w:t>Promoting Ethical Awareness and Combating Misinformation</w:t>
      </w:r>
    </w:p>
    <w:p w14:paraId="1249FCCB" w14:textId="77777777" w:rsidR="00B93390" w:rsidRPr="00B93390" w:rsidRDefault="00B93390" w:rsidP="00B93390">
      <w:pPr>
        <w:spacing w:line="480" w:lineRule="auto"/>
        <w:ind w:firstLine="720"/>
        <w:rPr>
          <w:sz w:val="24"/>
          <w:szCs w:val="24"/>
        </w:rPr>
      </w:pPr>
      <w:r w:rsidRPr="00B93390">
        <w:rPr>
          <w:sz w:val="24"/>
          <w:szCs w:val="24"/>
        </w:rPr>
        <w:t xml:space="preserve">Addressing misinformation requires a multifaceted approach. Data professionals should prioritize clear and accessible communication, utilizing visuals and straightforward </w:t>
      </w:r>
      <w:r w:rsidRPr="00B93390">
        <w:rPr>
          <w:sz w:val="24"/>
          <w:szCs w:val="24"/>
        </w:rPr>
        <w:lastRenderedPageBreak/>
        <w:t>language to convey complex concepts. For instance, creating interactive dashboards can enable users to explore data directly, promoting critical thinking and reducing reliance on oversimplified narratives.</w:t>
      </w:r>
    </w:p>
    <w:p w14:paraId="3B73AA53" w14:textId="77777777" w:rsidR="00B93390" w:rsidRPr="00B93390" w:rsidRDefault="00B93390" w:rsidP="00B93390">
      <w:pPr>
        <w:spacing w:line="480" w:lineRule="auto"/>
        <w:ind w:firstLine="720"/>
        <w:rPr>
          <w:sz w:val="24"/>
          <w:szCs w:val="24"/>
        </w:rPr>
      </w:pPr>
      <w:r w:rsidRPr="00B93390">
        <w:rPr>
          <w:sz w:val="24"/>
          <w:szCs w:val="24"/>
        </w:rPr>
        <w:t>Educational initiatives are equally vital. Teaching individuals to assess data critically—such as evaluating sources, understanding statistical significance, and recognizing common manipulation tactics—empowers them to discern fact from fiction. Within organizations, fostering a culture of data ethics, supported by training and robust governance policies, ensures that ethical practices are institutionalized.</w:t>
      </w:r>
    </w:p>
    <w:p w14:paraId="5F59FCEE" w14:textId="77777777" w:rsidR="00B93390" w:rsidRPr="00B93390" w:rsidRDefault="00B93390" w:rsidP="00B93390">
      <w:pPr>
        <w:spacing w:line="480" w:lineRule="auto"/>
        <w:rPr>
          <w:sz w:val="28"/>
          <w:szCs w:val="28"/>
        </w:rPr>
      </w:pPr>
      <w:r w:rsidRPr="00B93390">
        <w:rPr>
          <w:b/>
          <w:bCs/>
          <w:sz w:val="28"/>
          <w:szCs w:val="28"/>
        </w:rPr>
        <w:t>Conclusion</w:t>
      </w:r>
    </w:p>
    <w:p w14:paraId="1A491AF1" w14:textId="77777777" w:rsidR="00B93390" w:rsidRPr="00B93390" w:rsidRDefault="00B93390" w:rsidP="00B93390">
      <w:pPr>
        <w:spacing w:line="480" w:lineRule="auto"/>
        <w:ind w:firstLine="720"/>
        <w:rPr>
          <w:sz w:val="24"/>
          <w:szCs w:val="24"/>
        </w:rPr>
      </w:pPr>
      <w:r w:rsidRPr="00B93390">
        <w:rPr>
          <w:sz w:val="24"/>
          <w:szCs w:val="24"/>
        </w:rPr>
        <w:t>Ethical data handling is fundamental to responsible analysis, especially when misinformation spreads swiftly. By prioritizing transparency, accuracy, and education, data professionals can build trust and counteract the adverse effects of false information. Ethical data stewardship involves a commitment to honesty and integrity, ensuring data transformations respect the underlying truths they represent. As data stewards, we must navigate the challenges of balancing accuracy and accessibility while empowering others to think critically and make informed decisions. Ultimately, promoting ethics in data science is not only a professional obligation but a societal imperative.</w:t>
      </w:r>
    </w:p>
    <w:p w14:paraId="737B702C" w14:textId="77777777" w:rsidR="00B93390" w:rsidRDefault="00B93390" w:rsidP="00B93390">
      <w:pPr>
        <w:spacing w:line="480" w:lineRule="auto"/>
        <w:rPr>
          <w:b/>
          <w:bCs/>
          <w:sz w:val="24"/>
          <w:szCs w:val="24"/>
        </w:rPr>
      </w:pPr>
    </w:p>
    <w:p w14:paraId="389C3CE8" w14:textId="77777777" w:rsidR="00B93390" w:rsidRDefault="00B93390" w:rsidP="00B93390">
      <w:pPr>
        <w:spacing w:line="480" w:lineRule="auto"/>
        <w:rPr>
          <w:b/>
          <w:bCs/>
          <w:sz w:val="24"/>
          <w:szCs w:val="24"/>
        </w:rPr>
      </w:pPr>
    </w:p>
    <w:p w14:paraId="187EBED4" w14:textId="77777777" w:rsidR="00B93390" w:rsidRDefault="00B93390" w:rsidP="00B93390">
      <w:pPr>
        <w:spacing w:line="480" w:lineRule="auto"/>
        <w:rPr>
          <w:b/>
          <w:bCs/>
          <w:sz w:val="24"/>
          <w:szCs w:val="24"/>
        </w:rPr>
      </w:pPr>
    </w:p>
    <w:p w14:paraId="2689BACC" w14:textId="77777777" w:rsidR="00B93390" w:rsidRDefault="00B93390" w:rsidP="00B93390">
      <w:pPr>
        <w:spacing w:line="480" w:lineRule="auto"/>
        <w:rPr>
          <w:b/>
          <w:bCs/>
          <w:sz w:val="24"/>
          <w:szCs w:val="24"/>
        </w:rPr>
      </w:pPr>
    </w:p>
    <w:p w14:paraId="019B5949" w14:textId="516B9040" w:rsidR="00B93390" w:rsidRPr="00B93390" w:rsidRDefault="00B93390" w:rsidP="00B93390">
      <w:pPr>
        <w:spacing w:line="480" w:lineRule="auto"/>
        <w:jc w:val="center"/>
        <w:rPr>
          <w:sz w:val="28"/>
          <w:szCs w:val="28"/>
        </w:rPr>
      </w:pPr>
      <w:r w:rsidRPr="00B93390">
        <w:rPr>
          <w:b/>
          <w:bCs/>
          <w:sz w:val="28"/>
          <w:szCs w:val="28"/>
        </w:rPr>
        <w:t>References</w:t>
      </w:r>
    </w:p>
    <w:p w14:paraId="3FBCEECE" w14:textId="77777777" w:rsidR="00B93390" w:rsidRDefault="00B93390" w:rsidP="00B93390">
      <w:pPr>
        <w:spacing w:line="480" w:lineRule="auto"/>
        <w:ind w:firstLine="720"/>
        <w:rPr>
          <w:sz w:val="24"/>
          <w:szCs w:val="24"/>
        </w:rPr>
      </w:pPr>
      <w:r w:rsidRPr="00B93390">
        <w:rPr>
          <w:sz w:val="24"/>
          <w:szCs w:val="24"/>
        </w:rPr>
        <w:t xml:space="preserve">McGovern Institute. (2024, January 26). Do we only use 10 percent of our brain? Retrieved from </w:t>
      </w:r>
      <w:hyperlink r:id="rId4" w:tgtFrame="_blank" w:history="1">
        <w:r w:rsidRPr="00B93390">
          <w:rPr>
            <w:rStyle w:val="Hyperlink"/>
            <w:sz w:val="24"/>
            <w:szCs w:val="24"/>
          </w:rPr>
          <w:t>https://mcgovern.mit.edu/2024/01/26/do-we-use-only-10-percent-of-our-brain/</w:t>
        </w:r>
      </w:hyperlink>
    </w:p>
    <w:p w14:paraId="273B1DC2" w14:textId="77777777" w:rsidR="00B93390" w:rsidRPr="00B93390" w:rsidRDefault="00B93390" w:rsidP="00B93390">
      <w:pPr>
        <w:spacing w:line="480" w:lineRule="auto"/>
        <w:ind w:firstLine="720"/>
        <w:rPr>
          <w:sz w:val="24"/>
          <w:szCs w:val="24"/>
        </w:rPr>
      </w:pPr>
    </w:p>
    <w:p w14:paraId="4E2231E6" w14:textId="77777777" w:rsidR="00B93390" w:rsidRPr="00B93390" w:rsidRDefault="00B93390" w:rsidP="00B93390">
      <w:pPr>
        <w:spacing w:line="480" w:lineRule="auto"/>
        <w:ind w:firstLine="720"/>
        <w:rPr>
          <w:sz w:val="24"/>
          <w:szCs w:val="24"/>
        </w:rPr>
      </w:pPr>
      <w:r w:rsidRPr="00B93390">
        <w:rPr>
          <w:sz w:val="24"/>
          <w:szCs w:val="24"/>
        </w:rPr>
        <w:t xml:space="preserve">Snopes. (2000, March 10). Do we really use only 10 percent of our brain? Retrieved from </w:t>
      </w:r>
      <w:hyperlink r:id="rId5" w:tgtFrame="_blank" w:history="1">
        <w:r w:rsidRPr="00B93390">
          <w:rPr>
            <w:rStyle w:val="Hyperlink"/>
            <w:sz w:val="24"/>
            <w:szCs w:val="24"/>
          </w:rPr>
          <w:t>https://www.snopes.com/fact-check/the-ten-percent-myth/</w:t>
        </w:r>
      </w:hyperlink>
    </w:p>
    <w:p w14:paraId="5FB18594" w14:textId="77777777" w:rsidR="00B93390" w:rsidRPr="00B93390" w:rsidRDefault="00B93390" w:rsidP="00B93390">
      <w:pPr>
        <w:spacing w:line="480" w:lineRule="auto"/>
        <w:rPr>
          <w:sz w:val="24"/>
          <w:szCs w:val="24"/>
        </w:rPr>
      </w:pPr>
    </w:p>
    <w:sectPr w:rsidR="00B93390" w:rsidRPr="00B93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90"/>
    <w:rsid w:val="00164977"/>
    <w:rsid w:val="005E16AA"/>
    <w:rsid w:val="007452A9"/>
    <w:rsid w:val="00892AD4"/>
    <w:rsid w:val="00B93390"/>
    <w:rsid w:val="00C12FFF"/>
    <w:rsid w:val="00CD5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DBA918"/>
  <w15:chartTrackingRefBased/>
  <w15:docId w15:val="{A624E682-5FE9-4A1D-B143-7EBD7A19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3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3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3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3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3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3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3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3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3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3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3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3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3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3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3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3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3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390"/>
    <w:rPr>
      <w:rFonts w:eastAsiaTheme="majorEastAsia" w:cstheme="majorBidi"/>
      <w:color w:val="272727" w:themeColor="text1" w:themeTint="D8"/>
    </w:rPr>
  </w:style>
  <w:style w:type="paragraph" w:styleId="Title">
    <w:name w:val="Title"/>
    <w:basedOn w:val="Normal"/>
    <w:next w:val="Normal"/>
    <w:link w:val="TitleChar"/>
    <w:uiPriority w:val="10"/>
    <w:qFormat/>
    <w:rsid w:val="00B933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3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3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3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390"/>
    <w:pPr>
      <w:spacing w:before="160"/>
      <w:jc w:val="center"/>
    </w:pPr>
    <w:rPr>
      <w:i/>
      <w:iCs/>
      <w:color w:val="404040" w:themeColor="text1" w:themeTint="BF"/>
    </w:rPr>
  </w:style>
  <w:style w:type="character" w:customStyle="1" w:styleId="QuoteChar">
    <w:name w:val="Quote Char"/>
    <w:basedOn w:val="DefaultParagraphFont"/>
    <w:link w:val="Quote"/>
    <w:uiPriority w:val="29"/>
    <w:rsid w:val="00B93390"/>
    <w:rPr>
      <w:i/>
      <w:iCs/>
      <w:color w:val="404040" w:themeColor="text1" w:themeTint="BF"/>
    </w:rPr>
  </w:style>
  <w:style w:type="paragraph" w:styleId="ListParagraph">
    <w:name w:val="List Paragraph"/>
    <w:basedOn w:val="Normal"/>
    <w:uiPriority w:val="34"/>
    <w:qFormat/>
    <w:rsid w:val="00B93390"/>
    <w:pPr>
      <w:ind w:left="720"/>
      <w:contextualSpacing/>
    </w:pPr>
  </w:style>
  <w:style w:type="character" w:styleId="IntenseEmphasis">
    <w:name w:val="Intense Emphasis"/>
    <w:basedOn w:val="DefaultParagraphFont"/>
    <w:uiPriority w:val="21"/>
    <w:qFormat/>
    <w:rsid w:val="00B93390"/>
    <w:rPr>
      <w:i/>
      <w:iCs/>
      <w:color w:val="0F4761" w:themeColor="accent1" w:themeShade="BF"/>
    </w:rPr>
  </w:style>
  <w:style w:type="paragraph" w:styleId="IntenseQuote">
    <w:name w:val="Intense Quote"/>
    <w:basedOn w:val="Normal"/>
    <w:next w:val="Normal"/>
    <w:link w:val="IntenseQuoteChar"/>
    <w:uiPriority w:val="30"/>
    <w:qFormat/>
    <w:rsid w:val="00B933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390"/>
    <w:rPr>
      <w:i/>
      <w:iCs/>
      <w:color w:val="0F4761" w:themeColor="accent1" w:themeShade="BF"/>
    </w:rPr>
  </w:style>
  <w:style w:type="character" w:styleId="IntenseReference">
    <w:name w:val="Intense Reference"/>
    <w:basedOn w:val="DefaultParagraphFont"/>
    <w:uiPriority w:val="32"/>
    <w:qFormat/>
    <w:rsid w:val="00B93390"/>
    <w:rPr>
      <w:b/>
      <w:bCs/>
      <w:smallCaps/>
      <w:color w:val="0F4761" w:themeColor="accent1" w:themeShade="BF"/>
      <w:spacing w:val="5"/>
    </w:rPr>
  </w:style>
  <w:style w:type="character" w:styleId="Hyperlink">
    <w:name w:val="Hyperlink"/>
    <w:basedOn w:val="DefaultParagraphFont"/>
    <w:uiPriority w:val="99"/>
    <w:unhideWhenUsed/>
    <w:rsid w:val="00B93390"/>
    <w:rPr>
      <w:color w:val="467886" w:themeColor="hyperlink"/>
      <w:u w:val="single"/>
    </w:rPr>
  </w:style>
  <w:style w:type="character" w:styleId="UnresolvedMention">
    <w:name w:val="Unresolved Mention"/>
    <w:basedOn w:val="DefaultParagraphFont"/>
    <w:uiPriority w:val="99"/>
    <w:semiHidden/>
    <w:unhideWhenUsed/>
    <w:rsid w:val="00B933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813413">
      <w:bodyDiv w:val="1"/>
      <w:marLeft w:val="0"/>
      <w:marRight w:val="0"/>
      <w:marTop w:val="0"/>
      <w:marBottom w:val="0"/>
      <w:divBdr>
        <w:top w:val="none" w:sz="0" w:space="0" w:color="auto"/>
        <w:left w:val="none" w:sz="0" w:space="0" w:color="auto"/>
        <w:bottom w:val="none" w:sz="0" w:space="0" w:color="auto"/>
        <w:right w:val="none" w:sz="0" w:space="0" w:color="auto"/>
      </w:divBdr>
    </w:div>
    <w:div w:id="137969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nopes.com/fact-check/the-ten-percent-myth/" TargetMode="External"/><Relationship Id="rId4" Type="http://schemas.openxmlformats.org/officeDocument/2006/relationships/hyperlink" Target="https://mcgovern.mit.edu/2024/01/26/do-we-use-only-10-percent-of-our-br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566</Words>
  <Characters>3918</Characters>
  <Application>Microsoft Office Word</Application>
  <DocSecurity>0</DocSecurity>
  <Lines>68</Lines>
  <Paragraphs>19</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Melendez</dc:creator>
  <cp:keywords/>
  <dc:description/>
  <cp:lastModifiedBy>Andres Melendez</cp:lastModifiedBy>
  <cp:revision>1</cp:revision>
  <dcterms:created xsi:type="dcterms:W3CDTF">2024-11-16T00:30:00Z</dcterms:created>
  <dcterms:modified xsi:type="dcterms:W3CDTF">2024-11-16T00:37:00Z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a94faf3d-56e8-4999-8eb3-295a3772b95b</vt:lpwstr>
  </property>
</Properties>
</file>