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b/>
          <w:bCs/>
          <w:color w:val="C00000"/>
          <w:sz w:val="28"/>
          <w:szCs w:val="28"/>
        </w:rPr>
        <w:t xml:space="preserve">SENAI — Gestão de Projetos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Análise de Qualidade do Projeto FieldOps</w:t>
      </w:r>
    </w:p>
    <w:p>
      <w:pPr>
        <w:spacing w:after="200"/>
        <w:jc w:val="center"/>
      </w:pPr>
      <w:r>
        <w:rPr>
          <w:i/>
          <w:iCs/>
          <w:color w:val="404040"/>
          <w:sz w:val="26"/>
          <w:szCs w:val="26"/>
        </w:rPr>
        <w:t xml:space="preserve">Aplicação das Sete Ferramentas Básicas da Qualidade</w:t>
      </w:r>
    </w:p>
    <w:p>
      <w:pPr>
        <w:spacing w:after="1600"/>
        <w:jc w:val="center"/>
      </w:pPr>
      <w:r>
        <w:rPr>
          <w:color w:val="404040"/>
          <w:sz w:val="22"/>
          <w:szCs w:val="22"/>
        </w:rPr>
        <w:t xml:space="preserve">Plataforma de Inspeção em Campo</w:t>
      </w:r>
    </w:p>
    <w:p>
      <w:pPr>
        <w:jc w:val="center"/>
      </w:pPr>
      <w:r>
        <w:rPr>
          <w:sz w:val="22"/>
          <w:szCs w:val="22"/>
        </w:rPr>
        <w:t xml:space="preserve">Disciplina: Gestão de Projetos</w:t>
      </w:r>
    </w:p>
    <w:p>
      <w:pPr>
        <w:spacing w:after="800"/>
        <w:jc w:val="center"/>
      </w:pPr>
      <w:r>
        <w:rPr>
          <w:sz w:val="22"/>
          <w:szCs w:val="22"/>
        </w:rPr>
        <w:t xml:space="preserve">Professor orientador: Prof. Me. Deivison S. Takatu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Introdução</w:t>
      </w:r>
    </w:p>
    <w:p>
      <w:pPr>
        <w:spacing w:after="160"/>
        <w:jc w:val="both"/>
      </w:pPr>
      <w:r>
        <w:t xml:space="preserve">Este documento apresenta a análise de qualidade do Projeto FieldOps — Plataforma de Inspeção em Campo — a partir da aplicação das Sete Ferramentas Básicas da Qualidade (Diagrama de Causa e Efeito, Fluxograma, Folha de Verificação, Diagrama de Pareto, Histograma, Gráfico de Controle e Diagrama de Dispersão), tendo como referência o Documento de Visão e o documento de Objetivos do produto.</w:t>
      </w:r>
    </w:p>
    <w:p>
      <w:pPr>
        <w:spacing w:after="160"/>
        <w:jc w:val="both"/>
      </w:pPr>
      <w:r>
        <w:t xml:space="preserve">Como o FieldOps encontra-se na fase de planejamento e desenvolvimento do MVP, ainda sem histórico real de produção, os dados quantitativos utilizados nas ferramentas 3 a 7 (folha de verificação, Pareto, histograma, gráfico de controle e dispersão) são estimativas ilustrativas, construídas a partir de um cenário plausível de testes de homologação do aplicativo mobile e da API, com o objetivo de demonstrar a aplicação prática de cada ferramenta ao contexto do projeto. Já o diagrama de causa e efeito e o fluxograma refletem diretamente os processos, riscos e o fluxo de valor descritos na documentação do FieldOps.</w:t>
      </w:r>
    </w:p>
    <w:p>
      <w:pPr>
        <w:spacing w:after="160"/>
        <w:jc w:val="both"/>
      </w:pPr>
      <w:r>
        <w:t xml:space="preserve">O objetivo desta análise é identificar riscos à qualidade do produto, padronizar o fluxo de execução das inspeções, priorizar os pontos de maior impacto sobre não conformidades e propor uma base de monitoramento contínuo para as próximas fases do projeto.</w:t>
      </w:r>
    </w:p>
    <w:p>
      <w:pPr>
        <w:pStyle w:val="Heading1"/>
        <w:spacing w:after="160" w:before="360"/>
      </w:pPr>
      <w:r>
        <w:t xml:space="preserve">2. Diagrama de Causa e Efeito (Ishikawa)</w:t>
      </w:r>
    </w:p>
    <w:p>
      <w:pPr>
        <w:spacing w:after="160"/>
        <w:jc w:val="both"/>
      </w:pPr>
      <w:r>
        <w:t xml:space="preserve">O diagrama de Ishikawa foi aplicado ao problema de qualidade considerado mais crítico para a confiabilidade do FieldOps: a duplicidade de registros de inspeção após a sincronização entre o aplicativo mobile e a API. Esse risco está diretamente relacionado a dois objetivos específicos do produto — "disponibilizar operações idempotentes para sincronização" e "evitar duplicidade de registros em reenvios" — e ao objetivo de negócio de preservar a rastreabilidade das alterações.</w:t>
      </w:r>
    </w:p>
    <w:p>
      <w:pPr>
        <w:spacing w:after="6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Figura 1 — Diagrama de causa e efeito para a duplicidade de registros na sincronização.</w:t>
      </w:r>
    </w:p>
    <w:p>
      <w:pPr>
        <w:spacing w:after="160"/>
        <w:jc w:val="both"/>
      </w:pPr>
      <w:r>
        <w:t xml:space="preserve">As causas foram organizadas nas categorias Método, Mão de obra, Máquina/Tecnologia, Medição, Material/Dados e Meio Ambiente. As causas mais relevantes concentram-se em Método (ausência de identificador idempotente na requisição) e Máquina/Tecnologia (fila local — outbox — sem controle de status), reforçando que a solução técnica prioritária é a implementação de um identificador único por operação (UUID) associado ao registro do outbox local, complementada por treinamento da equipe técnica sobre o funcionamento do modo offline.</w:t>
      </w:r>
    </w:p>
    <w:p>
      <w:pPr>
        <w:pStyle w:val="Heading1"/>
        <w:spacing w:after="160" w:before="360"/>
      </w:pPr>
      <w:r>
        <w:t xml:space="preserve">3. Fluxograma</w:t>
      </w:r>
    </w:p>
    <w:p>
      <w:pPr>
        <w:spacing w:after="160"/>
        <w:jc w:val="both"/>
      </w:pPr>
      <w:r>
        <w:t xml:space="preserve">O fluxograma representa o fluxo principal de uma inspeção no FieldOps, do cadastro administrativo até a aprovação final, conforme descrito no escopo do produto (item 1.5 da Visão Geral). Ele evidencia o caminho de valor entre os três componentes da solução — interface administrativa, aplicativo mobile e API — e o ponto de decisão em que o supervisor pode aprovar ou solicitar correção do resultado.</w:t>
      </w:r>
    </w:p>
    <w:p>
      <w:pPr>
        <w:spacing w:after="60"/>
        <w:jc w:val="center"/>
      </w:pPr>
      <w:r>
        <w:drawing>
          <wp:inline distT="0" distB="0" distL="0" distR="0">
            <wp:extent cx="60960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Figura 2 — Fluxograma do processo principal de inspeção do FieldOps.</w:t>
      </w:r>
    </w:p>
    <w:p>
      <w:pPr>
        <w:spacing w:after="160"/>
        <w:jc w:val="both"/>
      </w:pPr>
      <w:r>
        <w:t xml:space="preserve">A padronização desse fluxo é a base para o controle de qualidade do processo: cada etapa representa um ponto onde requisitos (checklist válido, evidências obrigatórias, localização, QR Code) precisam ser atendidos antes de avançar. O laço de retorno após reprovação garante que uma inspeção só seja considerada concluída quando atender aos padrões definidos, reduzindo a chance de não conformidades passarem despercebidas para o histórico oficial do sistema.</w:t>
      </w:r>
    </w:p>
    <w:p>
      <w:pPr>
        <w:pStyle w:val="Heading1"/>
        <w:spacing w:after="160" w:before="360"/>
      </w:pPr>
      <w:r>
        <w:t xml:space="preserve">4. Folha de Verificação</w:t>
      </w:r>
    </w:p>
    <w:p>
      <w:pPr>
        <w:spacing w:after="160"/>
        <w:jc w:val="both"/>
      </w:pPr>
      <w:r>
        <w:t xml:space="preserve">A folha de verificação registra a contagem de ocorrências de problemas identificados ao longo de quatro semanas de testes funcionais do MVP (aplicativo mobile e API), permitindo visualizar a frequência de cada tipo de falha antes de qualquer tratamento estatístico mais avançado.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C00000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verificado / Tipo de ocorrência</w:t>
            </w:r>
          </w:p>
        </w:tc>
        <w:tc>
          <w:tcPr>
            <w:tcW w:type="dxa" w:w="1200"/>
            <w:shd w:fill="C000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1200"/>
            <w:shd w:fill="C000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 2</w:t>
            </w:r>
          </w:p>
        </w:tc>
        <w:tc>
          <w:tcPr>
            <w:tcW w:type="dxa" w:w="1200"/>
            <w:shd w:fill="C000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 3</w:t>
            </w:r>
          </w:p>
        </w:tc>
        <w:tc>
          <w:tcPr>
            <w:tcW w:type="dxa" w:w="1200"/>
            <w:shd w:fill="C000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 4</w:t>
            </w:r>
          </w:p>
        </w:tc>
        <w:tc>
          <w:tcPr>
            <w:tcW w:type="dxa" w:w="1200"/>
            <w:shd w:fill="C000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Falha na sincronização após reconexão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 não anexada ao item do checklist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 obrigatório não validado antes do envio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 de leitura de QR Code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Geolocalização não registrada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Falha de login / sessão expirada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 inadequado em tela pequena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Lentidão no carregamento do checklist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</w:t>
            </w:r>
          </w:p>
        </w:tc>
      </w:tr>
    </w:tbl>
    <w:p>
      <w:pPr>
        <w:spacing w:after="200"/>
      </w:pP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Tabela 1 — Folha de verificação de ocorrências nos testes do MVP (4 semanas).</w:t>
      </w:r>
    </w:p>
    <w:p>
      <w:pPr>
        <w:spacing w:after="160"/>
        <w:jc w:val="both"/>
      </w:pPr>
      <w:r>
        <w:t xml:space="preserve">A folha de verificação evidencia que os problemas ligados à sincronização e ao registro de evidências (fotos) concentram a maior parte das ocorrências, com 47 das 87 falhas registradas (cerca de 54%) nas duas primeiras categorias. Esses dados alimentam diretamente a priorização feita no Diagrama de Pareto, a seguir.</w:t>
      </w:r>
    </w:p>
    <w:p>
      <w:pPr>
        <w:pStyle w:val="Heading1"/>
        <w:spacing w:after="160" w:before="360"/>
      </w:pPr>
      <w:r>
        <w:t xml:space="preserve">5. Diagrama de Pareto</w:t>
      </w:r>
    </w:p>
    <w:p>
      <w:pPr>
        <w:spacing w:after="160"/>
        <w:jc w:val="both"/>
      </w:pPr>
      <w:r>
        <w:t xml:space="preserve">A partir dos dados da folha de verificação, o Diagrama de Pareto ordena os tipos de não conformidade por frequência decrescente e apresenta a curva de percentual acumulado, permitindo identificar os "poucos vitais" responsáveis pela maior parte dos problemas.</w:t>
      </w:r>
    </w:p>
    <w:p>
      <w:pPr>
        <w:spacing w:after="6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Figura 3 — Diagrama de Pareto das não conformidades registradas nos testes do MVP.</w:t>
      </w:r>
    </w:p>
    <w:p>
      <w:pPr>
        <w:spacing w:after="160"/>
        <w:jc w:val="both"/>
      </w:pPr>
      <w:r>
        <w:t xml:space="preserve">As três primeiras categorias — falha na sincronização após reconexão, foto não anexada ao item do checklist e item obrigatório não validado antes do envio — respondem por aproximadamente 70% de todas as ocorrências, e as quatro primeiras ultrapassam a linha de 80%. Isso indica que o esforço de correção e teste do MVP deve ser priorizado nessas quatro frentes antes de tratar problemas de menor frequência, como layout ou lentidão de carregamento, que têm impacto comparativamente menor na qualidade percebida.</w:t>
      </w:r>
    </w:p>
    <w:p>
      <w:pPr>
        <w:pStyle w:val="Heading1"/>
        <w:spacing w:after="160" w:before="360"/>
      </w:pPr>
      <w:r>
        <w:t xml:space="preserve">6. Histograma</w:t>
      </w:r>
    </w:p>
    <w:p>
      <w:pPr>
        <w:spacing w:after="160"/>
        <w:jc w:val="both"/>
      </w:pPr>
      <w:r>
        <w:t xml:space="preserve">O histograma foi construído a partir do tempo de sincronização (em segundos) de uma amostra de 65 inspeções executadas offline e sincronizadas posteriormente, permitindo visualizar a distribuição e identificar comportamentos fora do padrão esperado.</w:t>
      </w:r>
    </w:p>
    <w:p>
      <w:pPr>
        <w:spacing w:after="60"/>
        <w:jc w:val="center"/>
      </w:pPr>
      <w:r>
        <w:drawing>
          <wp:inline distT="0" distB="0" distL="0" distR="0">
            <wp:extent cx="4953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Figura 4 — Histograma do tempo de sincronização das inspeções.</w:t>
      </w:r>
    </w:p>
    <w:p>
      <w:pPr>
        <w:spacing w:after="160"/>
        <w:jc w:val="both"/>
      </w:pPr>
      <w:r>
        <w:t xml:space="preserve">A distribuição concentra-se entre 4 e 8 segundos, compatível com o objetivo de reduzir o intervalo entre a execução em campo e a disponibilidade do resultado. No entanto, observa-se uma cauda de sincronizações mais lentas (acima de 12 segundos), provavelmente associada a inspeções com maior volume de evidências fotográficas. Esse comportamento sugere a necessidade de otimizar o upload de imagens (por exemplo, compressão antes do envio) para reduzir a variabilidade e evitar impacto na experiência do técnico em campo.</w:t>
      </w:r>
    </w:p>
    <w:p>
      <w:pPr>
        <w:pStyle w:val="Heading1"/>
        <w:spacing w:after="160" w:before="360"/>
      </w:pPr>
      <w:r>
        <w:t xml:space="preserve">7. Gráfico de Controle</w:t>
      </w:r>
    </w:p>
    <w:p>
      <w:pPr>
        <w:spacing w:after="160"/>
        <w:jc w:val="both"/>
      </w:pPr>
      <w:r>
        <w:t xml:space="preserve">O gráfico de controle acompanha a taxa de erro de sincronização (%) ao longo de 14 sprints simulados de desenvolvimento e testes, com limites de controle superior (LSC) e inferior (LIC) calculados a três desvios-padrão da média, conforme a prática do controle estatístico de processo.</w:t>
      </w:r>
    </w:p>
    <w:p>
      <w:pPr>
        <w:spacing w:after="6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Figura 5 — Gráfico de controle da taxa de erro de sincronização por sprint.</w:t>
      </w:r>
    </w:p>
    <w:p>
      <w:pPr>
        <w:spacing w:after="160"/>
        <w:jc w:val="both"/>
      </w:pPr>
      <w:r>
        <w:t xml:space="preserve">O processo se mantém sob controle estatístico na maior parte do período, com tendência de queda a partir da sprint 9, o que é coerente com a maturação do tratamento de conectividade instável e da fila local (outbox). A sprint 9 apresenta um pico de 12,5%, ultrapassando o padrão observado nas demais sprints; esse ponto deve ser tratado como uma causa especial de variação e investigado isoladamente (por exemplo, correlacionando-o com uma instabilidade pontual de rede ou uma mudança recente de código), em vez de ser interpretado como parte do comportamento normal do processo.</w:t>
      </w:r>
    </w:p>
    <w:p>
      <w:pPr>
        <w:pStyle w:val="Heading1"/>
        <w:spacing w:after="160" w:before="360"/>
      </w:pPr>
      <w:r>
        <w:t xml:space="preserve">8. Diagrama de Dispersão</w:t>
      </w:r>
    </w:p>
    <w:p>
      <w:pPr>
        <w:spacing w:after="160"/>
        <w:jc w:val="both"/>
      </w:pPr>
      <w:r>
        <w:t xml:space="preserve">O diagrama de dispersão analisa a relação entre o número de itens de um checklist e o tempo médio de execução da inspeção em campo, com base em uma amostra de 40 inspeções simuladas, para apoiar decisões de design dos modelos de inspeção.</w:t>
      </w:r>
    </w:p>
    <w:p>
      <w:pPr>
        <w:spacing w:after="60"/>
        <w:jc w:val="center"/>
      </w:pPr>
      <w:r>
        <w:drawing>
          <wp:inline distT="0" distB="0" distL="0" distR="0">
            <wp:extent cx="4762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Figura 6 — Diagrama de dispersão entre número de itens do checklist e tempo de execução.</w:t>
      </w:r>
    </w:p>
    <w:p>
      <w:pPr>
        <w:spacing w:after="160"/>
        <w:jc w:val="both"/>
      </w:pPr>
      <w:r>
        <w:t xml:space="preserve">Observa-se uma correlação positiva muito forte (r ≈ 0,95) entre o número de itens do checklist e o tempo de execução da inspeção: quanto maior o checklist, maior o tempo necessário em campo. Essa relação deve orientar a criação de modelos de inspeção pela interface administrativa, equilibrando completude do checklist com produtividade do técnico, e pode justificar a adoção de checklists condicionais (itens que só aparecem conforme respostas anteriores) como forma de reduzir o tempo de execução sem perder cobertura dos pontos críticos.</w:t>
      </w:r>
    </w:p>
    <w:p>
      <w:pPr>
        <w:pStyle w:val="Heading1"/>
        <w:spacing w:after="160" w:before="360"/>
      </w:pPr>
      <w:r>
        <w:t xml:space="preserve">9. Conclusões Gerais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maior risco de qualidade identificado está relacionado à sincronização de dados (duplicidade de registros e lentidão), reforçando a importância dos objetivos de idempotência e de operações de sincronização já previstos no documento de objetivos da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padronização do fluxo de inspeção (fluxograma) é o alicerce que permite aplicar controle de qualidade em cada etapa, do cadastro à aprovação final.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folha de verificação e o Diagrama de Pareto convergem para as mesmas quatro categorias prioritárias de não conformidade, o que deve orientar o backlog de correções do MVP.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histograma e o gráfico de controle indicam um processo de sincronização predominantemente estável, mas com pontos de atenção (cauda de tempos altos e um sprint fora de controle) que exigem investigação pontual.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diagrama de dispersão fornece um critério objetivo para o design dos modelos de inspeção, equilibrando completude do checklist e produtividade do técnico em campo.</w:t>
      </w:r>
    </w:p>
    <w:p>
      <w:pPr>
        <w:spacing w:after="160"/>
        <w:jc w:val="both"/>
      </w:pPr>
      <w:r>
        <w:t xml:space="preserve">Em conjunto, as sete ferramentas oferecem uma visão estruturada — causal, processual e estatística — dos principais riscos à qualidade do FieldOps, servindo de base para o plano de testes e para os indicadores de acompanhamento a serem monitorados ao longo do desenvolvimento do MVP.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FieldOps — Análise de Qualidade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C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7e45f9843b4b40694953300d5141672ddbd055.png"/><Relationship Id="rId10" Type="http://schemas.openxmlformats.org/officeDocument/2006/relationships/image" Target="media/92ac3a1b27a0cc15a8f0693493df29005f3250a6.png"/><Relationship Id="rId11" Type="http://schemas.openxmlformats.org/officeDocument/2006/relationships/image" Target="media/4c05d532f717d8bf3b68a7d0d760bccc9c4b8117.png"/><Relationship Id="rId12" Type="http://schemas.openxmlformats.org/officeDocument/2006/relationships/image" Target="media/6c43d46d9b5134cf4ed4cec29bfcca798d978fe9.png"/><Relationship Id="rId13" Type="http://schemas.openxmlformats.org/officeDocument/2006/relationships/image" Target="media/8b74f66af7e6fa4978a0ebc5ac6af9334b5b1eb2.png"/><Relationship Id="rId14" Type="http://schemas.openxmlformats.org/officeDocument/2006/relationships/image" Target="media/c45e58795096b9dc3a37dcf0e8c8669e7182395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2026-09-04T23:27:41.926Z</dcterms:created>
  <dcterms:modified xsi:type="dcterms:W3CDTF">2026-09-04T23:27:41.926Z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