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CFD-ML-BASED TURBULENCE MODEL DEFINITION FOR FIDELITY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OF HORIZONTAL-AXIS WIND TURBINE RANS SIMULATIONS</w:t>
      </w:r>
    </w:p>
    <w:p>
      <w:pPr>
        <w:pStyle w:val="BodyText"/>
      </w:pPr>
      <w:r>
        <w:rPr>
          <w:b/>
          <w:bCs/>
        </w:rPr>
        <w:t xml:space="preserve">Andrea Carloni</w:t>
      </w:r>
      <w:r>
        <w:rPr>
          <w:b/>
          <w:bCs/>
          <w:vertAlign w:val="superscript"/>
        </w:rPr>
        <w:t xml:space="preserve">1</w:t>
      </w:r>
      <w:r>
        <w:rPr>
          <w:b/>
          <w:bCs/>
        </w:rPr>
        <w:t xml:space="preserve">, Giovanni Delibra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, Filippo De Girolamo</w:t>
      </w:r>
      <w:r>
        <w:rPr>
          <w:b/>
          <w:bCs/>
          <w:vertAlign w:val="superscript"/>
        </w:rPr>
        <w:t xml:space="preserve">3</w:t>
      </w:r>
      <w:r>
        <w:rPr>
          <w:b/>
          <w:bCs/>
        </w:rPr>
        <w:t xml:space="preserve">, Lorenzo Tieghi</w:t>
      </w:r>
      <w:r>
        <w:rPr>
          <w:b/>
          <w:bCs/>
          <w:vertAlign w:val="superscript"/>
        </w:rPr>
        <w:t xml:space="preserve">4</w:t>
      </w:r>
      <w:r>
        <w:rPr>
          <w:b/>
          <w:bCs/>
        </w:rPr>
        <w:t xml:space="preserve">, Alessandro Corsini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, Valerio Francesco Barnabei</w:t>
      </w:r>
      <w:r>
        <w:rPr>
          <w:b/>
          <w:bCs/>
          <w:vertAlign w:val="superscript"/>
        </w:rPr>
        <w:t xml:space="preserve">2</w:t>
      </w:r>
    </w:p>
    <w:p>
      <w:pPr>
        <w:pStyle w:val="BodyText"/>
      </w:pPr>
      <w:r>
        <w:t xml:space="preserve">. Department of Electrical and Energy Engineering, Sapienza University</w:t>
      </w:r>
      <w:r>
        <w:t xml:space="preserve"> </w:t>
      </w:r>
      <w:r>
        <w:t xml:space="preserve">of Rome, Italy; email: andrea.carloni@uniroma1.it</w:t>
      </w:r>
    </w:p>
    <w:p>
      <w:pPr>
        <w:pStyle w:val="BodyText"/>
      </w:pPr>
      <w:r>
        <w:t xml:space="preserve">. Department of Mechanical and Aerospace Engineering, Sapienza University</w:t>
      </w:r>
      <w:r>
        <w:t xml:space="preserve"> </w:t>
      </w:r>
      <w:r>
        <w:t xml:space="preserve">of Rome, Italy; email: giovanni.delibra@uniroma1.it</w:t>
      </w:r>
    </w:p>
    <w:p>
      <w:pPr>
        <w:pStyle w:val="BodyText"/>
      </w:pPr>
      <w:r>
        <w:t xml:space="preserve">. Division of Fluid Mechanics, KTH Royal Institute of Technology, Stockholm, Sweden; email: fidg@kth.se</w:t>
      </w:r>
    </w:p>
    <w:p>
      <w:pPr>
        <w:pStyle w:val="BodyText"/>
      </w:pPr>
      <w:r>
        <w:t xml:space="preserve">. Department of Civil, Environmental and Mechanical Engineering, University of Trento, Trento, Italy; email: lorenzo.tieghi@unitn.it</w:t>
      </w:r>
    </w:p>
    <w:p>
      <w:pPr>
        <w:pStyle w:val="BodyText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Accurate prediction of horizontal-axis wind turbine (HAWT) wakes is essential</w:t>
      </w:r>
      <w:r>
        <w:t xml:space="preserve"> </w:t>
      </w:r>
      <w:r>
        <w:t xml:space="preserve">for wind farm layout optimisation and energy yield estimation, yet it remains a</w:t>
      </w:r>
      <w:r>
        <w:t xml:space="preserve"> </w:t>
      </w:r>
      <w:r>
        <w:t xml:space="preserve">challenge for affordable simulation tools: Large Eddy Simulation (LES) is</w:t>
      </w:r>
      <w:r>
        <w:t xml:space="preserve"> </w:t>
      </w:r>
      <w:r>
        <w:t xml:space="preserve">reliable but prohibitively expensive, while unsteady Reynolds-Averaged</w:t>
      </w:r>
      <w:r>
        <w:t xml:space="preserve"> </w:t>
      </w:r>
      <w:r>
        <w:t xml:space="preserve">Navier-Stokes (URANS) systematically mis-predicts the wake recovery. This work</w:t>
      </w:r>
      <w:r>
        <w:t xml:space="preserve"> </w:t>
      </w:r>
      <w:r>
        <w:t xml:space="preserve">proposes a CFD-ML methodology that defines, rather than post-processes,</w:t>
      </w:r>
      <w:r>
        <w:t xml:space="preserve"> </w:t>
      </w:r>
      <w:r>
        <w:t xml:space="preserve">a machine learning-based turbulence closure for HAWT wakes. From a high-fidelity</w:t>
      </w:r>
      <w:r>
        <w:t xml:space="preserve"> </w:t>
      </w:r>
      <w:r>
        <w:t xml:space="preserve">LES of the NREL-5MW turbine in a turbulent atmospheric boundary layer (ABL), an</w:t>
      </w:r>
      <w:r>
        <w:t xml:space="preserve"> </w:t>
      </w:r>
      <w:r>
        <w:t xml:space="preserve">LES-equivalent eddy viscosity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is extracted as regression target. A</w:t>
      </w:r>
      <w:r>
        <w:t xml:space="preserve"> </w:t>
      </w:r>
      <w:r>
        <w:t xml:space="preserve">K-means clustering segments the flow into physically distinct regions and a</w:t>
      </w:r>
      <w:r>
        <w:t xml:space="preserve"> </w:t>
      </w:r>
      <w:r>
        <w:t xml:space="preserve">Multi-Layer Perceptron (MLP) learns the local correction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ν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, which is embedded into a</w:t>
      </w:r>
      <w:r>
        <w:t xml:space="preserve"> </w:t>
      </w:r>
      <w:r>
        <w:t xml:space="preserve">modified OpenFOAM PIMPLE solver using the</w:t>
      </w:r>
      <w:r>
        <w:t xml:space="preserve"> </w:t>
      </w:r>
      <m:oMath>
        <m:r>
          <m:t>k</m:t>
        </m:r>
      </m:oMath>
      <w:r>
        <w:t xml:space="preserve">-</w:t>
      </w:r>
      <m:oMath>
        <m:r>
          <m:t>ω</m:t>
        </m:r>
      </m:oMath>
      <w:r>
        <w:t xml:space="preserve"> </w:t>
      </w:r>
      <w:r>
        <w:t xml:space="preserve">SST model. The network</w:t>
      </w:r>
      <w:r>
        <w:t xml:space="preserve"> </w:t>
      </w:r>
      <w:r>
        <w:t xml:space="preserve">reproduces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with a validation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0.9934</m:t>
        </m:r>
      </m:oMath>
      <w:r>
        <w:t xml:space="preserve">. Once embedded, the</w:t>
      </w:r>
      <w:r>
        <w:t xml:space="preserve"> </w:t>
      </w:r>
      <w:r>
        <w:t xml:space="preserve">ML-based RANS model outperforms the standard RANS model in both near- and</w:t>
      </w:r>
      <w:r>
        <w:t xml:space="preserve"> </w:t>
      </w:r>
      <w:r>
        <w:t xml:space="preserve">far-wake; most notably, on ultra-coarse grids it captures the post-breakdown</w:t>
      </w:r>
      <w:r>
        <w:t xml:space="preserve"> </w:t>
      </w:r>
      <w:r>
        <w:t xml:space="preserve">wake recovery at a cost about</w:t>
      </w:r>
      <w:r>
        <w:t xml:space="preserve"> </w:t>
      </w:r>
      <m:oMath>
        <m:r>
          <m:t>1.25</m:t>
        </m:r>
      </m:oMath>
      <w:r>
        <w:t xml:space="preserve"> </w:t>
      </w:r>
      <w:r>
        <w:t xml:space="preserve">times lower than the reference LES, while</w:t>
      </w:r>
      <w:r>
        <w:t xml:space="preserve"> </w:t>
      </w:r>
      <w:r>
        <w:t xml:space="preserve">also reproducing the rotor forces and power coefficients.</w:t>
      </w:r>
    </w:p>
    <w:p>
      <w:pPr>
        <w:pStyle w:val="BodyText"/>
      </w:pPr>
      <w:r>
        <w:t xml:space="preserve">: Wind turbine wake, URANS, Machine learning, Turbulence modelling</w:t>
      </w:r>
    </w:p>
    <w:bookmarkStart w:id="9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Wind energy is a cornerstone of the transition toward sustainable electricity</w:t>
      </w:r>
      <w:r>
        <w:t xml:space="preserve"> </w:t>
      </w:r>
      <w:r>
        <w:t xml:space="preserve">generation. When a turbine extracts kinetic energy from the incoming flow it</w:t>
      </w:r>
      <w:r>
        <w:t xml:space="preserve"> </w:t>
      </w:r>
      <w:r>
        <w:t xml:space="preserve">leaves behind a wake characterised by a velocity deficit and elevated</w:t>
      </w:r>
      <w:r>
        <w:t xml:space="preserve"> </w:t>
      </w:r>
      <w:r>
        <w:t xml:space="preserve">turbulence; downstream turbines operating within this region suffer reduced</w:t>
      </w:r>
      <w:r>
        <w:t xml:space="preserve"> </w:t>
      </w:r>
      <w:r>
        <w:t xml:space="preserve">power output and increased fatigue loads </w:t>
      </w:r>
      <w:r>
        <w:t xml:space="preserve">[1]</w:t>
      </w:r>
      <w:r>
        <w:t xml:space="preserve">. Accurate</w:t>
      </w:r>
      <w:r>
        <w:t xml:space="preserve"> </w:t>
      </w:r>
      <w:r>
        <w:t xml:space="preserve">prediction of HAWT wake behaviour is therefore essential for wind farm layout</w:t>
      </w:r>
      <w:r>
        <w:t xml:space="preserve"> </w:t>
      </w:r>
      <w:r>
        <w:t xml:space="preserve">optimisation, energy yield estimation and structural load assessment. From a</w:t>
      </w:r>
      <w:r>
        <w:t xml:space="preserve"> </w:t>
      </w:r>
      <w:r>
        <w:t xml:space="preserve">fluid-mechanics perspective the wake is a complex, multi-scale phenomenon,</w:t>
      </w:r>
      <w:r>
        <w:t xml:space="preserve"> </w:t>
      </w:r>
      <w:r>
        <w:t xml:space="preserve">deeply coupled with the inherently unsteady atmospheric boundary layer (ABL),</w:t>
      </w:r>
      <w:r>
        <w:t xml:space="preserve"> </w:t>
      </w:r>
      <w:r>
        <w:t xml:space="preserve">whose recovery is governed by shear-driven turbulent mixing 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Available modelling strategies trade physical fidelity against computational</w:t>
      </w:r>
      <w:r>
        <w:t xml:space="preserve"> </w:t>
      </w:r>
      <w:r>
        <w:t xml:space="preserve">cost. Analytical engineering wake models are near-instantaneous but rely on</w:t>
      </w:r>
      <w:r>
        <w:t xml:space="preserve"> </w:t>
      </w:r>
      <w:r>
        <w:t xml:space="preserve">strong simplifying assumptions; LES resolves the dominant turbulent structures</w:t>
      </w:r>
      <w:r>
        <w:t xml:space="preserve"> </w:t>
      </w:r>
      <w:r>
        <w:t xml:space="preserve">and is the reference standard, but a single medium-sized wind farm simulation</w:t>
      </w:r>
      <w:r>
        <w:t xml:space="preserve"> </w:t>
      </w:r>
      <w:r>
        <w:t xml:space="preserve">can demand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–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CPU hours </w:t>
      </w:r>
      <w:r>
        <w:t xml:space="preserve">[2]</w:t>
      </w:r>
      <w:r>
        <w:t xml:space="preserve">. URANS occupies an</w:t>
      </w:r>
      <w:r>
        <w:t xml:space="preserve"> </w:t>
      </w:r>
      <w:r>
        <w:t xml:space="preserve">intermediate position, roughly two orders of magnitude cheaper than</w:t>
      </w:r>
      <w:r>
        <w:t xml:space="preserve"> </w:t>
      </w:r>
      <w:r>
        <w:t xml:space="preserve">LES </w:t>
      </w:r>
      <w:r>
        <w:t xml:space="preserve">[2]</w:t>
      </w:r>
      <w:r>
        <w:t xml:space="preserve">, but the closure assumptions of standard models, most</w:t>
      </w:r>
      <w:r>
        <w:t xml:space="preserve"> </w:t>
      </w:r>
      <w:r>
        <w:t xml:space="preserve">notably the Boussinesq eddy-viscosity hypothesis, introduce structural</w:t>
      </w:r>
      <w:r>
        <w:t xml:space="preserve"> </w:t>
      </w:r>
      <w:r>
        <w:t xml:space="preserve">model-form errors that lead to a systematic mis-prediction of the wake recovery</w:t>
      </w:r>
      <w:r>
        <w:t xml:space="preserve"> </w:t>
      </w:r>
      <w:r>
        <w:t xml:space="preserve">rate 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Machine Learning (ML) has emerged as a powerful complement to physics-based</w:t>
      </w:r>
      <w:r>
        <w:t xml:space="preserve"> </w:t>
      </w:r>
      <w:r>
        <w:t xml:space="preserve">simulation. Most applications in wind energy use ML downstream of a</w:t>
      </w:r>
      <w:r>
        <w:t xml:space="preserve"> </w:t>
      </w:r>
      <w:r>
        <w:t xml:space="preserve">physical model, e.g. for power forecasting or layout optimisation, leaving the</w:t>
      </w:r>
      <w:r>
        <w:t xml:space="preserve"> </w:t>
      </w:r>
      <w:r>
        <w:t xml:space="preserve">turbulence model unchanged </w:t>
      </w:r>
      <w:r>
        <w:t xml:space="preserve">[4]</w:t>
      </w:r>
      <w:r>
        <w:t xml:space="preserve">. A more recent line of</w:t>
      </w:r>
      <w:r>
        <w:t xml:space="preserve"> </w:t>
      </w:r>
      <w:r>
        <w:t xml:space="preserve">research instead corrects or replaces the turbulence closure itself, modifying</w:t>
      </w:r>
      <w:r>
        <w:t xml:space="preserve"> </w:t>
      </w:r>
      <w:r>
        <w:t xml:space="preserve">the governing equations during the simulation </w:t>
      </w:r>
      <w:r>
        <w:t xml:space="preserve">[5], [6]</w:t>
      </w:r>
      <w:r>
        <w:t xml:space="preserve">. In</w:t>
      </w:r>
      <w:r>
        <w:t xml:space="preserve"> </w:t>
      </w:r>
      <w:r>
        <w:t xml:space="preserve">the wind energy context, optimal corrective fields derived from time-averaged</w:t>
      </w:r>
      <w:r>
        <w:t xml:space="preserve"> </w:t>
      </w:r>
      <w:r>
        <w:t xml:space="preserve">LES data have been used to build custom RANS closures, yielding improved</w:t>
      </w:r>
      <w:r>
        <w:t xml:space="preserve"> </w:t>
      </w:r>
      <w:r>
        <w:t xml:space="preserve">multi-turbine wake predictions </w:t>
      </w:r>
      <w:r>
        <w:t xml:space="preserve">[2], [7]</w:t>
      </w:r>
      <w:r>
        <w:t xml:space="preserve">.</w:t>
      </w:r>
    </w:p>
    <w:p>
      <w:pPr>
        <w:pStyle w:val="BodyText"/>
      </w:pPr>
      <w:r>
        <w:t xml:space="preserve">The present work contributes to this direction with three specific novelties.</w:t>
      </w:r>
      <w:r>
        <w:t xml:space="preserve"> </w:t>
      </w:r>
      <w:r>
        <w:t xml:space="preserve">First, a clustering algorithm based on the K-means method segments the flow</w:t>
      </w:r>
      <w:r>
        <w:t xml:space="preserve"> </w:t>
      </w:r>
      <w:r>
        <w:t xml:space="preserve">domain into physically distinct regions, following </w:t>
      </w:r>
      <w:r>
        <w:t xml:space="preserve">[8], [9]</w:t>
      </w:r>
      <w:r>
        <w:t xml:space="preserve">,</w:t>
      </w:r>
      <w:r>
        <w:t xml:space="preserve"> </w:t>
      </w:r>
      <w:r>
        <w:t xml:space="preserve">improving generalisation and interpretability and reducing the sensitivity of the</w:t>
      </w:r>
      <w:r>
        <w:t xml:space="preserve"> </w:t>
      </w:r>
      <w:r>
        <w:t xml:space="preserve">correction to mesh refinement. Second, an MLP is trained to predict the local</w:t>
      </w:r>
      <w:r>
        <w:t xml:space="preserve"> </w:t>
      </w:r>
      <w:r>
        <w:t xml:space="preserve">correction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ν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and the resulting</w:t>
      </w:r>
      <w:r>
        <w:t xml:space="preserve"> </w:t>
      </w:r>
      <w:r>
        <w:t xml:space="preserve">data-driven closure is embedded directly into the OpenFOAM PIMPLE solver,</w:t>
      </w:r>
      <w:r>
        <w:t xml:space="preserve"> </w:t>
      </w:r>
      <w:r>
        <w:t xml:space="preserve">enabling fully predictive RANS simulations. Third, the methodology is tested</w:t>
      </w:r>
      <w:r>
        <w:t xml:space="preserve"> </w:t>
      </w:r>
      <w:r>
        <w:t xml:space="preserve">across multiple mesh refinement levels, showing that LES-quality wake recovery</w:t>
      </w:r>
      <w:r>
        <w:t xml:space="preserve"> </w:t>
      </w:r>
      <w:r>
        <w:t xml:space="preserve">can be achieved at a cost lower than that of standard LES. In essence, ML is</w:t>
      </w:r>
      <w:r>
        <w:t xml:space="preserve"> </w:t>
      </w:r>
      <w:r>
        <w:t xml:space="preserve">used here to define the turbulence model, building from scratch a</w:t>
      </w:r>
      <w:r>
        <w:t xml:space="preserve"> </w:t>
      </w:r>
      <w:r>
        <w:t xml:space="preserve">problem-specific eddy-viscosity closure calibrated to reproduce high-fidelity</w:t>
      </w:r>
      <w:r>
        <w:t xml:space="preserve"> </w:t>
      </w:r>
      <w:r>
        <w:t xml:space="preserve">LES statistics.</w:t>
      </w:r>
    </w:p>
    <w:bookmarkEnd w:id="9"/>
    <w:bookmarkStart w:id="13" w:name="sec: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The methodology combines a CFD part, used to generate the data and to test the</w:t>
      </w:r>
      <w:r>
        <w:t xml:space="preserve"> </w:t>
      </w:r>
      <w:r>
        <w:t xml:space="preserve">model, and an ML part, used to train the clustering and neural-network models.</w:t>
      </w:r>
    </w:p>
    <w:bookmarkStart w:id="10" w:name="cfd-dataset"/>
    <w:p>
      <w:pPr>
        <w:pStyle w:val="Heading2"/>
      </w:pPr>
      <w:r>
        <w:t xml:space="preserve">CFD dataset</w:t>
      </w:r>
    </w:p>
    <w:p>
      <w:pPr>
        <w:pStyle w:val="FirstParagraph"/>
      </w:pPr>
      <w:r>
        <w:t xml:space="preserve">Simulations are performed with OpenFOAM-v22.12 using an in-house Actuator Line</w:t>
      </w:r>
      <w:r>
        <w:t xml:space="preserve"> </w:t>
      </w:r>
      <w:r>
        <w:t xml:space="preserve">Model (ALM) </w:t>
      </w:r>
      <w:r>
        <w:t xml:space="preserve">[10]</w:t>
      </w:r>
      <w:r>
        <w:t xml:space="preserve"> </w:t>
      </w:r>
      <w:r>
        <w:t xml:space="preserve">based on the</w:t>
      </w:r>
      <w:r>
        <w:t xml:space="preserve"> </w:t>
      </w:r>
      <w:r>
        <w:rPr>
          <w:i/>
          <w:iCs/>
        </w:rPr>
        <w:t xml:space="preserve">turbinesFoam</w:t>
      </w:r>
      <w:r>
        <w:t xml:space="preserve"> </w:t>
      </w:r>
      <w:r>
        <w:t xml:space="preserve">library </w:t>
      </w:r>
      <w:r>
        <w:t xml:space="preserve">[11]</w:t>
      </w:r>
      <w:r>
        <w:t xml:space="preserve">, under incompressible flow conditions, solving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 the PIMPLE algorithm. RANS simulations use the</w:t>
      </w:r>
      <w:r>
        <w:t xml:space="preserve"> </w:t>
      </w:r>
      <m:oMath>
        <m:r>
          <m:t>k</m:t>
        </m:r>
      </m:oMath>
      <w:r>
        <w:t xml:space="preserve">-</w:t>
      </w:r>
      <m:oMath>
        <m:r>
          <m:t>ω</m:t>
        </m:r>
      </m:oMath>
      <w:r>
        <w:t xml:space="preserve"> </w:t>
      </w:r>
      <w:r>
        <w:t xml:space="preserve">SST model </w:t>
      </w:r>
      <w:r>
        <w:t xml:space="preserve">[12]</w:t>
      </w:r>
      <w:r>
        <w:t xml:space="preserve">; LES uses the WALE</w:t>
      </w:r>
      <w:r>
        <w:t xml:space="preserve"> </w:t>
      </w:r>
      <w:r>
        <w:t xml:space="preserve">model </w:t>
      </w:r>
      <w:r>
        <w:t xml:space="preserve">[13]</w:t>
      </w:r>
      <w:r>
        <w:t xml:space="preserve">. At the RANS inlet a logarithmic velocity profile is imposed;</w:t>
      </w:r>
      <w:r>
        <w:t xml:space="preserve"> </w:t>
      </w:r>
      <w:r>
        <w:t xml:space="preserve">at the LES inlet, synthetic turbulent fluctuations from the Kaimal</w:t>
      </w:r>
      <w:r>
        <w:t xml:space="preserve"> </w:t>
      </w:r>
      <w:r>
        <w:t xml:space="preserve">spectrum </w:t>
      </w:r>
      <w:r>
        <w:t xml:space="preserve">[14]</w:t>
      </w:r>
      <w:r>
        <w:t xml:space="preserve"> </w:t>
      </w:r>
      <w:r>
        <w:t xml:space="preserve">are superimposed following </w:t>
      </w:r>
      <w:r>
        <w:t xml:space="preserve">[9], [15]</w:t>
      </w:r>
      <w:r>
        <w:t xml:space="preserve">.</w:t>
      </w:r>
    </w:p>
    <w:p>
      <w:pPr>
        <w:pStyle w:val="BodyText"/>
      </w:pPr>
      <w:r>
        <w:t xml:space="preserve">To generate the regression data, a modified RANS run imports the mean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fields from the LES and, fixing those fields, performs a single</w:t>
      </w:r>
      <w:r>
        <w:t xml:space="preserve"> </w:t>
      </w:r>
      <w:r>
        <w:t xml:space="preserve">step in which the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field is solved consistently with the LES input inside</w:t>
      </w:r>
      <w:r>
        <w:t xml:space="preserve"> </w:t>
      </w:r>
      <w:r>
        <w:t xml:space="preserve">the turbulence correction loop, yielding the modified eddy viscosity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o</m:t>
            </m:r>
            <m:r>
              <m:t>d</m:t>
            </m:r>
          </m:sub>
        </m:sSub>
      </m:oMath>
      <w:r>
        <w:t xml:space="preserve">. The computational domain is a rectangular box with the rotor at</w:t>
      </w:r>
      <w:r>
        <w:t xml:space="preserve"> </w:t>
      </w:r>
      <w:r>
        <w:t xml:space="preserve">5</w:t>
      </w:r>
      <m:oMath>
        <m:r>
          <m:t>D</m:t>
        </m:r>
      </m:oMath>
      <w:r>
        <w:t xml:space="preserve"> </w:t>
      </w:r>
      <w:r>
        <w:t xml:space="preserve">from the inlet, 15</w:t>
      </w:r>
      <m:oMath>
        <m:r>
          <m:t>D</m:t>
        </m:r>
      </m:oMath>
      <w:r>
        <w:t xml:space="preserve"> </w:t>
      </w:r>
      <w:r>
        <w:t xml:space="preserve">from the outlet and 90 m from the terrain, extending</w:t>
      </w:r>
      <w:r>
        <w:t xml:space="preserve"> </w:t>
      </w:r>
      <w:r>
        <w:t xml:space="preserve">5</w:t>
      </w:r>
      <m:oMath>
        <m:r>
          <m:t>D</m:t>
        </m:r>
      </m:oMath>
      <w:r>
        <w:t xml:space="preserve"> </w:t>
      </w:r>
      <w:r>
        <w:t xml:space="preserve">on each side and 8</w:t>
      </w:r>
      <m:oMath>
        <m:r>
          <m:t>D</m:t>
        </m:r>
      </m:oMath>
      <w:r>
        <w:t xml:space="preserve"> </w:t>
      </w:r>
      <w:r>
        <w:t xml:space="preserve">in the vertical direction. The finest mesh has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30.8 M cells (minimum cell size 1.75 m near the rotor). Coarser grids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15.9,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9.1 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4.2 M cells are obtained by varying the minimum</w:t>
      </w:r>
      <w:r>
        <w:t xml:space="preserve"> </w:t>
      </w:r>
      <w:r>
        <w:t xml:space="preserve">and maximum cell size, and are used to assess the mesh-refinement influence on</w:t>
      </w:r>
      <w:r>
        <w:t xml:space="preserve"> </w:t>
      </w:r>
      <w:r>
        <w:t xml:space="preserve">the trained models.</w:t>
      </w:r>
    </w:p>
    <w:bookmarkEnd w:id="10"/>
    <w:bookmarkStart w:id="11" w:name="X8c6e4094f6b84a85329627f73bb21d0f15df7b0"/>
    <w:p>
      <w:pPr>
        <w:pStyle w:val="Heading2"/>
      </w:pPr>
      <w:r>
        <w:t xml:space="preserve">LES-equivalent eddy viscosity and ML target</w:t>
      </w:r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the kinematic turbulent viscosity entering the RANS</w:t>
      </w:r>
      <w:r>
        <w:t xml:space="preserve"> </w:t>
      </w:r>
      <w:r>
        <w:t xml:space="preserve">equations through the effective viscosity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ν</m:t>
        </m:r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. The</w:t>
      </w:r>
      <w:r>
        <w:t xml:space="preserve"> </w:t>
      </w:r>
      <w:r>
        <w:t xml:space="preserve">reference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is obtained by projecting the deviatoric part of the LES</w:t>
      </w:r>
      <w:r>
        <w:t xml:space="preserve"> </w:t>
      </w:r>
      <w:r>
        <w:t xml:space="preserve">turbulent stress (sum of resolved and subgrid-scale contributions) onto the</w:t>
      </w:r>
      <w:r>
        <w:t xml:space="preserve"> </w:t>
      </w:r>
      <w:r>
        <w:t xml:space="preserve">Boussinesq form,</w:t>
      </w:r>
      <w:r>
        <w:t xml:space="preserve"> </w:t>
      </w:r>
      <m:oMath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  <m:r>
              <m:t>j</m:t>
            </m:r>
          </m:sub>
          <m:sup>
            <m:r>
              <m:t>d</m:t>
            </m:r>
            <m:r>
              <m:t>e</m:t>
            </m:r>
            <m:r>
              <m:t>v</m:t>
            </m:r>
          </m:sup>
        </m:sSubSup>
        <m:r>
          <m:rPr>
            <m:sty m:val="p"/>
          </m:rPr>
          <m:t>≃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  <m:r>
          <m:t> 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Assuming a</w:t>
      </w:r>
      <w:r>
        <w:t xml:space="preserve"> </w:t>
      </w:r>
      <w:r>
        <w:t xml:space="preserve">Smagorinsky-type subgrid stress</w:t>
      </w:r>
      <w:r>
        <w:t xml:space="preserve"> </w:t>
      </w:r>
      <m:oMath>
        <m:sSubSup>
          <m:e>
            <m:r>
              <m:t>τ</m:t>
            </m:r>
          </m:e>
          <m:sub>
            <m:r>
              <m:t>i</m:t>
            </m:r>
            <m:r>
              <m:t>j</m:t>
            </m:r>
          </m:sub>
          <m:sup>
            <m:r>
              <m:t>s</m:t>
            </m:r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v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t>ν</m:t>
            </m:r>
          </m:e>
          <m:sub>
            <m:r>
              <m:t>s</m:t>
            </m:r>
            <m:r>
              <m:t>g</m:t>
            </m:r>
            <m:r>
              <m:t>s</m:t>
            </m:r>
          </m:sub>
        </m:sSub>
        <m:r>
          <m:t> 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minimising the Frobenius norm of the residual gives the closed form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s</m:t>
              </m:r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r</m:t>
                          </m:r>
                          <m:r>
                            <m:t>e</m:t>
                          </m:r>
                          <m:r>
                            <m:t>s</m:t>
                          </m:r>
                        </m:sup>
                      </m:sSubSup>
                    </m:e>
                  </m:d>
                </m:e>
                <m:sup>
                  <m:r>
                    <m:t>d</m:t>
                  </m:r>
                  <m:r>
                    <m:t>e</m:t>
                  </m:r>
                  <m:r>
                    <m:t>v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2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resolved strain-rate tensor and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  <m:r>
              <m:t>j</m:t>
            </m:r>
          </m:sub>
          <m:sup>
            <m:r>
              <m:t>r</m:t>
            </m:r>
            <m:r>
              <m:t>e</m:t>
            </m:r>
            <m:r>
              <m:t>s</m:t>
            </m:r>
          </m:sup>
        </m:sSubSup>
      </m:oMath>
      <w:r>
        <w:t xml:space="preserve"> </w:t>
      </w:r>
      <w:r>
        <w:t xml:space="preserve">the</w:t>
      </w:r>
      <w:r>
        <w:t xml:space="preserve"> </w:t>
      </w:r>
      <w:r>
        <w:t xml:space="preserve">resolved Reynolds stress tensor. Rather than predicting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directly,</w:t>
      </w:r>
      <w:r>
        <w:t xml:space="preserve"> </w:t>
      </w:r>
      <w:r>
        <w:t xml:space="preserve">the network is trained on the discrepancy with respect to the RANS baseline,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ν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ν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ν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ν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bookmarkEnd w:id="11"/>
    <w:bookmarkStart w:id="12" w:name="clustering-and-neural-network"/>
    <w:p>
      <w:pPr>
        <w:pStyle w:val="Heading2"/>
      </w:pPr>
      <w:r>
        <w:t xml:space="preserve">Clustering and neural network</w:t>
      </w:r>
    </w:p>
    <w:p>
      <w:pPr>
        <w:pStyle w:val="FirstParagraph"/>
      </w:pPr>
      <w:r>
        <w:t xml:space="preserve">A K-means clustering algorithm </w:t>
      </w:r>
      <w:r>
        <w:t xml:space="preserve">[8], [9]</w:t>
      </w:r>
      <w:r>
        <w:t xml:space="preserve">, implemented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scikit-learn</w:t>
      </w:r>
      <w:r>
        <w:t xml:space="preserve"> </w:t>
      </w:r>
      <w:r>
        <w:t xml:space="preserve">[16]</w:t>
      </w:r>
      <w:r>
        <w:t xml:space="preserve">, identifies the distinct flow</w:t>
      </w:r>
      <w:r>
        <w:t xml:space="preserve"> </w:t>
      </w:r>
      <w:r>
        <w:t xml:space="preserve">regions of the wake, moving the prediction from a cell-wise to a region-aware</w:t>
      </w:r>
      <w:r>
        <w:t xml:space="preserve"> </w:t>
      </w:r>
      <w:r>
        <w:t xml:space="preserve">basis that is more robust to mesh refinement. The algorithm minimises the</w:t>
      </w:r>
      <w:r>
        <w:t xml:space="preserve"> </w:t>
      </w:r>
      <w:r>
        <w:t xml:space="preserve">within-cluster sum of squares (the</w:t>
      </w:r>
      <w:r>
        <w:t xml:space="preserve"> </w:t>
      </w:r>
      <w:r>
        <w:rPr>
          <w:i/>
          <w:iCs/>
        </w:rPr>
        <w:t xml:space="preserve">inertia</w:t>
      </w:r>
      <w:r>
        <w:t xml:space="preserve"> </w:t>
      </w:r>
      <w:r>
        <w:t xml:space="preserve">reported by</w:t>
      </w:r>
      <w:r>
        <w:t xml:space="preserve"> </w:t>
      </w:r>
      <w:r>
        <w:rPr>
          <w:i/>
          <w:iCs/>
        </w:rPr>
        <w:t xml:space="preserve">scikit-learn</w:t>
      </w:r>
      <w:r>
        <w:t xml:space="preserve">),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∈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sub>
              <m:sup>
                <m:r>
                  <m:t>​</m:t>
                </m:r>
              </m:sup>
              <m:e>
                <m:sSup>
                  <m:e>
                    <m:d>
                      <m:dPr>
                        <m:begChr m:val="‖"/>
                        <m:sepChr m:val=""/>
                        <m:endChr m:val="‖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and the optimal number of clusters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selected with the elbow method.</w:t>
      </w:r>
      <w:r>
        <w:t xml:space="preserve"> </w:t>
      </w:r>
      <w:r>
        <w:t xml:space="preserve">Features are Min-Max normalised and projected on a cylindrical reference system</w:t>
      </w:r>
      <w:r>
        <w:t xml:space="preserve"> </w:t>
      </w:r>
      <w:r>
        <w:t xml:space="preserve">centred on the rotor; a subset is retained based on PCA and physical reasoning.</w:t>
      </w:r>
    </w:p>
    <w:p>
      <w:pPr>
        <w:pStyle w:val="BodyText"/>
      </w:pPr>
      <w:r>
        <w:t xml:space="preserve">The regression model is a Multi-Layer Perceptron (MLP) implemented in</w:t>
      </w:r>
      <w:r>
        <w:t xml:space="preserve"> </w:t>
      </w:r>
      <w:r>
        <w:t xml:space="preserve">TensorFlow-Keras </w:t>
      </w:r>
      <w:r>
        <w:t xml:space="preserve">[17]</w:t>
      </w:r>
      <w:r>
        <w:t xml:space="preserve">, with a single scalar output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L</m:t>
            </m:r>
          </m:sub>
        </m:sSub>
      </m:oMath>
      <w:r>
        <w:t xml:space="preserve">. The cell-level input vector includes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U</m:t>
                </m:r>
              </m:e>
            </m:acc>
          </m:e>
          <m:sub>
            <m:r>
              <m:t>c</m:t>
            </m:r>
            <m:r>
              <m:t>y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, the distance from the assigned cluster centroid, the</w:t>
      </w:r>
      <w:r>
        <w:t xml:space="preserve"> </w:t>
      </w:r>
      <w:r>
        <w:t xml:space="preserve">non-dimensional coordinates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D</m:t>
        </m:r>
      </m:oMath>
      <w:r>
        <w:t xml:space="preserve">, and the (one-hot encoded) cluster</w:t>
      </w:r>
      <w:r>
        <w:t xml:space="preserve"> </w:t>
      </w:r>
      <w:r>
        <w:t xml:space="preserve">labels; continuous features and the target are standardised. The architecture is</w:t>
      </w:r>
      <w:r>
        <w:t xml:space="preserve"> </w:t>
      </w:r>
      <w:r>
        <w:t xml:space="preserve">a sequence of fully connected residual blocks (Dense layer with L2</w:t>
      </w:r>
      <w:r>
        <w:t xml:space="preserve"> </w:t>
      </w:r>
      <w:r>
        <w:t xml:space="preserve">regularisation, Layer Normalization, GELU activation and Dropout) with</w:t>
      </w:r>
      <w:r>
        <w:t xml:space="preserve"> </w:t>
      </w:r>
      <w:r>
        <w:t xml:space="preserve">progressively decreasing widths, trained by minimising a weighted Huber loss</w:t>
      </w:r>
      <w:r>
        <w:t xml:space="preserve"> </w:t>
      </w:r>
      <w:r>
        <w:t xml:space="preserve">with the Adam optimizer; sample weights compensate for cluster imbalance and</w:t>
      </w:r>
      <w:r>
        <w:t xml:space="preserve"> </w:t>
      </w:r>
      <w:r>
        <w:t xml:space="preserve">emphasise downstream wake samples. After a first standard</w:t>
      </w:r>
      <w:r>
        <w:t xml:space="preserve"> </w:t>
      </w:r>
      <m:oMath>
        <m:r>
          <m:t>k</m:t>
        </m:r>
      </m:oMath>
      <w:r>
        <w:t xml:space="preserve">-</w:t>
      </w:r>
      <m:oMath>
        <m:r>
          <m:t>ω</m:t>
        </m:r>
      </m:oMath>
      <w:r>
        <w:t xml:space="preserve"> </w:t>
      </w:r>
      <w:r>
        <w:t xml:space="preserve">SST</w:t>
      </w:r>
      <w:r>
        <w:t xml:space="preserve"> </w:t>
      </w:r>
      <w:r>
        <w:t xml:space="preserve">iteration, the clustering assigns a cluster to each cell and the MLP predicts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L</m:t>
            </m:r>
          </m:sub>
        </m:sSub>
      </m:oMath>
      <w:r>
        <w:t xml:space="preserve">, which is then used to advance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the modified</w:t>
      </w:r>
      <w:r>
        <w:t xml:space="preserve"> </w:t>
      </w:r>
      <w:r>
        <w:t xml:space="preserve">PIMPLE turbulence correction loop; the procedure is repeated every iteration.</w:t>
      </w:r>
    </w:p>
    <w:bookmarkEnd w:id="12"/>
    <w:bookmarkEnd w:id="13"/>
    <w:bookmarkStart w:id="14" w:name="sec:case_study"/>
    <w:p>
      <w:pPr>
        <w:pStyle w:val="Heading1"/>
      </w:pPr>
      <w:r>
        <w:t xml:space="preserve">Case study</w:t>
      </w:r>
    </w:p>
    <w:p>
      <w:pPr>
        <w:pStyle w:val="FirstParagraph"/>
      </w:pPr>
      <w:r>
        <w:t xml:space="preserve">The methodology is tested on the NREL-5MW </w:t>
      </w:r>
      <w:r>
        <w:t xml:space="preserve">[18]</w:t>
      </w:r>
      <w:r>
        <w:t xml:space="preserve"> </w:t>
      </w:r>
      <w:r>
        <w:t xml:space="preserve">HAWT, modelled with the</w:t>
      </w:r>
      <w:r>
        <w:t xml:space="preserve"> </w:t>
      </w:r>
      <w:r>
        <w:t xml:space="preserve">ALM with the number of nodes adapted to each grid so that</w:t>
      </w:r>
      <w:r>
        <w:t xml:space="preserve"> </w:t>
      </w:r>
      <m:oMath>
        <m:r>
          <m:t>ϵ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≤</m:t>
        </m:r>
        <m:r>
          <m:t>0.75</m:t>
        </m:r>
      </m:oMath>
      <w:r>
        <w:t xml:space="preserve"> </w:t>
      </w:r>
      <w:r>
        <w:t xml:space="preserve">[19]</w:t>
      </w:r>
      <w:r>
        <w:t xml:space="preserve">. A hub-height</w:t>
      </w:r>
      <w:r>
        <w:t xml:space="preserve"> </w:t>
      </w:r>
      <w:r>
        <w:t xml:space="preserve">(</w:t>
      </w:r>
      <m:oMath>
        <m:r>
          <m:t>90</m:t>
        </m:r>
      </m:oMath>
      <w:r>
        <w:t xml:space="preserve"> m) inflow velocity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is considered, with the ABL</w:t>
      </w:r>
      <w:r>
        <w:t xml:space="preserve"> </w:t>
      </w:r>
      <w:r>
        <w:t xml:space="preserve">logarithmic profile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CFD dataset was validated against literature results </w:t>
      </w:r>
      <w:r>
        <w:t xml:space="preserve">[20], [21]</w:t>
      </w:r>
      <w:r>
        <w:t xml:space="preserve"> </w:t>
      </w:r>
      <w:r>
        <w:t xml:space="preserve">as in </w:t>
      </w:r>
      <w:r>
        <w:t xml:space="preserve">[9]</w:t>
      </w:r>
      <w:r>
        <w:t xml:space="preserve"> </w:t>
      </w:r>
      <w:r>
        <w:t xml:space="preserve">and is omitted here for brevity. Training data are</w:t>
      </w:r>
      <w:r>
        <w:t xml:space="preserve"> </w:t>
      </w:r>
      <w:r>
        <w:t xml:space="preserve">sampled along two planes through the rotor centre (one parallel and one</w:t>
      </w:r>
      <w:r>
        <w:t xml:space="preserve"> </w:t>
      </w:r>
      <w:r>
        <w:t xml:space="preserve">perpendicular to the terrain) on the finest grid, yielding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180k cells; the</w:t>
      </w:r>
      <w:r>
        <w:t xml:space="preserve"> </w:t>
      </w:r>
      <w:r>
        <w:t xml:space="preserve">far-upstream inflow region (</w:t>
      </w:r>
      <m:oMath>
        <m:r>
          <m:t>x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2.5</m:t>
        </m:r>
      </m:oMath>
      <w:r>
        <w:t xml:space="preserve">) is excluded, retaining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160k cells</w:t>
      </w:r>
      <w:r>
        <w:t xml:space="preserve"> </w:t>
      </w:r>
      <w:r>
        <w:t xml:space="preserve">split 80/20 into training and validation sets, stratified by cluster.</w:t>
      </w:r>
    </w:p>
    <w:bookmarkEnd w:id="14"/>
    <w:bookmarkStart w:id="28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clustering identifies a clear elbow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 separating the undisturbed</w:t>
      </w:r>
      <w:r>
        <w:t xml:space="preserve"> </w:t>
      </w:r>
      <w:r>
        <w:t xml:space="preserve">flow from the inlet/ABL-affected, near-wake, mixing/breakdown and far-wake</w:t>
      </w:r>
      <w:r>
        <w:t xml:space="preserve"> </w:t>
      </w:r>
      <w:r>
        <w:t xml:space="preserve">regions, consistently with the underlying physics. Trained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0.24 s, it</w:t>
      </w:r>
      <w:r>
        <w:t xml:space="preserve"> </w:t>
      </w:r>
      <w:r>
        <w:t xml:space="preserve">provides the region labels used by the network.</w:t>
      </w:r>
    </w:p>
    <w:p>
      <w:pPr>
        <w:pStyle w:val="BodyText"/>
      </w:pPr>
      <w:r>
        <w:t xml:space="preserve">The MLP reaches early stopping at epoch 201 (best checkpoint at epoch 187). In</w:t>
      </w:r>
      <w:r>
        <w:t xml:space="preserve"> </w:t>
      </w:r>
      <w:r>
        <w:t xml:space="preserve">physical space the reconstructed field attains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0.9935</m:t>
        </m:r>
      </m:oMath>
      <w:r>
        <w:t xml:space="preserve"> </w:t>
      </w:r>
      <w:r>
        <w:t xml:space="preserve">on training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0.9934</m:t>
        </m:r>
      </m:oMath>
      <w:r>
        <w:t xml:space="preserve"> </w:t>
      </w:r>
      <w:r>
        <w:t xml:space="preserve">(</w:t>
      </w:r>
      <m:oMath>
        <m:r>
          <m:t>R</m:t>
        </m:r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r>
          <m:t>0.2588</m:t>
        </m:r>
      </m:oMath>
      <w:r>
        <w:t xml:space="preserve">,</w:t>
      </w:r>
      <w:r>
        <w:t xml:space="preserve"> </w:t>
      </w:r>
      <m:oMath>
        <m:r>
          <m:t>M</m:t>
        </m:r>
        <m:r>
          <m:t>A</m:t>
        </m:r>
        <m:r>
          <m:t>E</m:t>
        </m:r>
        <m:r>
          <m:rPr>
            <m:sty m:val="p"/>
          </m:rPr>
          <m:t>=</m:t>
        </m:r>
        <m:r>
          <m:t>0.1831</m:t>
        </m:r>
      </m:oMath>
      <w:r>
        <w:t xml:space="preserve">) on validation. A residual underestimation</w:t>
      </w:r>
      <w:r>
        <w:t xml:space="preserve"> </w:t>
      </w:r>
      <w:r>
        <w:t xml:space="preserve">bias persists only in the inlet region, where the synthetic boundary condition</w:t>
      </w:r>
      <w:r>
        <w:t xml:space="preserve"> </w:t>
      </w:r>
      <w:r>
        <w:t xml:space="preserve">introduces numerical instabilities. An equivalent network trained without</w:t>
      </w:r>
      <w:r>
        <w:t xml:space="preserve"> </w:t>
      </w:r>
      <w:r>
        <w:t xml:space="preserve">clustering attains a marginally lower MSE/MAE but a lower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0.9854</m:t>
        </m:r>
      </m:oMath>
      <w:r>
        <w:t xml:space="preserve">,</w:t>
      </w:r>
      <w:r>
        <w:t xml:space="preserve"> </w:t>
      </w:r>
      <w:r>
        <w:t xml:space="preserve">reflecting a poorer reconstruction of the data variance; the benefit of</w:t>
      </w:r>
      <w:r>
        <w:t xml:space="preserve"> </w:t>
      </w:r>
      <w:r>
        <w:t xml:space="preserve">clustering is most evident in the near-terrain region, where the clustered model</w:t>
      </w:r>
      <w:r>
        <w:t xml:space="preserve"> </w:t>
      </w:r>
      <w:r>
        <w:t xml:space="preserve">is markedly more consistent with the LES reference.</w:t>
      </w:r>
    </w:p>
    <w:p>
      <w:pPr>
        <w:pStyle w:val="BodyText"/>
      </w:pPr>
      <w:r>
        <w:t xml:space="preserve">The trained model is embedded in the RANS solver and evaluated across grids of</w:t>
      </w:r>
      <w:r>
        <w:t xml:space="preserve"> </w:t>
      </w:r>
      <w:r>
        <w:t xml:space="preserve">different resolution. As shown in Fig. </w:t>
      </w:r>
      <w:hyperlink w:anchor="fig:velocity_deficit">
        <w:r>
          <w:rPr>
            <w:rStyle w:val="Hyperlink"/>
          </w:rPr>
          <w:t xml:space="preserve">1</w:t>
        </w:r>
      </w:hyperlink>
      <w:r>
        <w:t xml:space="preserve">, on the fine</w:t>
      </w:r>
      <w:r>
        <w:t xml:space="preserve"> </w:t>
      </w:r>
      <w:r>
        <w:t xml:space="preserve">grid (</w:t>
      </w:r>
      <m:oMath>
        <m:r>
          <m:rPr>
            <m:sty m:val="p"/>
          </m:rPr>
          <m:t>∼</m:t>
        </m:r>
      </m:oMath>
      <w:r>
        <w:t xml:space="preserve">15.9 M cells) the ML-based RANS model consistently outperforms the</w:t>
      </w:r>
      <w:r>
        <w:t xml:space="preserve"> </w:t>
      </w:r>
      <w:r>
        <w:t xml:space="preserve">standard RANS model, especially in the upper near-wake where the standard model</w:t>
      </w:r>
      <w:r>
        <w:t xml:space="preserve"> </w:t>
      </w:r>
      <w:r>
        <w:t xml:space="preserve">underestimates the deficit; a moderate underestimation persists in the lower</w:t>
      </w:r>
      <w:r>
        <w:t xml:space="preserve"> </w:t>
      </w:r>
      <w:r>
        <w:t xml:space="preserve">near-wake, while the far-wake (after breakdown, from</w:t>
      </w:r>
      <w:r>
        <w:t xml:space="preserve"> </w:t>
      </w:r>
      <m:oMath>
        <m:r>
          <m:t>4</m:t>
        </m:r>
        <m:r>
          <m:t>D</m:t>
        </m:r>
      </m:oMath>
      <w:r>
        <w:t xml:space="preserve">) is slightly</w:t>
      </w:r>
      <w:r>
        <w:t xml:space="preserve"> </w:t>
      </w:r>
      <w:r>
        <w:t xml:space="preserve">overestimated. The most relevant result is obtained on the ultra-coarse grids:</w:t>
      </w:r>
      <w:r>
        <w:t xml:space="preserve"> </w:t>
      </w:r>
      <w:r>
        <w:t xml:space="preserve">the model retains its improved near-wake prediction while also providing a much</w:t>
      </w:r>
      <w:r>
        <w:t xml:space="preserve"> </w:t>
      </w:r>
      <w:r>
        <w:t xml:space="preserve">more accurate far-wake, including the post-breakdown recovery that is critical to</w:t>
      </w:r>
      <w:r>
        <w:t xml:space="preserve"> </w:t>
      </w:r>
      <w:r>
        <w:t xml:space="preserve">estimate the power production of downstream turbines. This is achieved at a</w:t>
      </w:r>
      <w:r>
        <w:t xml:space="preserve"> </w:t>
      </w:r>
      <w:r>
        <w:t xml:space="preserve">reduced cost: on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4.2 M cells grid the ML-based RANS model is about</w:t>
      </w:r>
      <w:r>
        <w:t xml:space="preserve"> </w:t>
      </w:r>
      <m:oMath>
        <m:r>
          <m:t>1.25</m:t>
        </m:r>
      </m:oMath>
      <w:r>
        <w:t xml:space="preserve"> </w:t>
      </w:r>
      <w:r>
        <w:t xml:space="preserve">times cheaper than the reference LES, making it a viable tool for</w:t>
      </w:r>
      <w:r>
        <w:t xml:space="preserve"> </w:t>
      </w:r>
      <w:r>
        <w:t xml:space="preserve">large-scale wind farm simulations.</w:t>
      </w:r>
    </w:p>
    <w:bookmarkStart w:id="18" w:name="fig:velocity_deficit"/>
    <w:p>
      <w:pPr>
        <w:pStyle w:val="CaptionedFigure"/>
      </w:pPr>
      <w:r>
        <w:drawing>
          <wp:inline>
            <wp:extent cx="5334000" cy="112812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esults/img/ml_results/deficit/ml_models_comparison/velocity/comparis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Velocity deficit along the</w:t>
      </w:r>
      <w:r>
        <w:t xml:space="preserve"> </w:t>
      </w:r>
      <m:oMath>
        <m:r>
          <m:t>x</m:t>
        </m:r>
      </m:oMath>
      <w:r>
        <w:t xml:space="preserve">-axis at different streamwise distances</w:t>
      </w:r>
      <w:r>
        <w:t xml:space="preserve"> </w:t>
      </w:r>
      <w:r>
        <w:t xml:space="preserve">from the rotor, for the ML-based RANS model on grids of different resolution,</w:t>
      </w:r>
      <w:r>
        <w:t xml:space="preserve"> </w:t>
      </w:r>
      <w:r>
        <w:t xml:space="preserve">compared with the standard RANS model and the LES reference.</w:t>
      </w:r>
    </w:p>
    <w:bookmarkEnd w:id="18"/>
    <w:p>
      <w:pPr>
        <w:pStyle w:val="BodyText"/>
      </w:pPr>
      <w:r>
        <w:t xml:space="preserve">To assess the dynamic effects on the turbine and the associated power production,</w:t>
      </w:r>
      <w:r>
        <w:t xml:space="preserve"> </w:t>
      </w:r>
      <w:r>
        <w:t xml:space="preserve">the predicted forces and the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/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coefficients are reported in</w:t>
      </w:r>
      <w:r>
        <w:t xml:space="preserve"> </w:t>
      </w:r>
      <w:r>
        <w:t xml:space="preserve">Fig. </w:t>
      </w:r>
      <w:hyperlink w:anchor="fig:forces">
        <w:r>
          <w:rPr>
            <w:rStyle w:val="Hyperlink"/>
          </w:rPr>
          <w:t xml:space="preserve">4</w:t>
        </w:r>
      </w:hyperlink>
      <w:r>
        <w:t xml:space="preserve">. They show good agreement with the reference curves, with a</w:t>
      </w:r>
      <w:r>
        <w:t xml:space="preserve"> </w:t>
      </w:r>
      <w:r>
        <w:t xml:space="preserve">slight underestimation partly attributable to the fact that the reference refers</w:t>
      </w:r>
      <w:r>
        <w:t xml:space="preserve"> </w:t>
      </w:r>
      <w:r>
        <w:t xml:space="preserve">to an isolated turbine, whereas the ML-based RANS model operates in a turbulent</w:t>
      </w:r>
      <w:r>
        <w:t xml:space="preserve"> </w:t>
      </w:r>
      <w:r>
        <w:t xml:space="preserve">ABL affected by the ground. Overall, the model reproduces not only the velocity</w:t>
      </w:r>
      <w:r>
        <w:t xml:space="preserve"> </w:t>
      </w:r>
      <w:r>
        <w:t xml:space="preserve">wake field but also the aerodynamic loading and power production, a key</w:t>
      </w:r>
      <w:r>
        <w:t xml:space="preserve"> </w:t>
      </w:r>
      <w:r>
        <w:t xml:space="preserve">requirement for wind farm applications.</w:t>
      </w:r>
    </w:p>
    <w:bookmarkStart w:id="27" w:name="fig:forc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bookmarkStart w:id="22" w:name="fig:cp_ct_profile"/>
          <w:p>
            <w:pPr>
              <w:pStyle w:val="CaptionedFigure"/>
              <w:jc w:val="center"/>
            </w:pPr>
            <w:r>
              <w:drawing>
                <wp:inline>
                  <wp:extent cx="2667000" cy="973864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results/img/forces_cp_c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73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2"/>
        </w:tc>
        <w:tc>
          <w:tcPr/>
          <w:bookmarkStart w:id="26" w:name="fig:forces_profile"/>
          <w:p>
            <w:pPr>
              <w:pStyle w:val="CaptionedFigure"/>
              <w:jc w:val="center"/>
            </w:pPr>
            <w:r>
              <w:drawing>
                <wp:inline>
                  <wp:extent cx="2667000" cy="9851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results/img/forces_profil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85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6"/>
        </w:tc>
      </w:tr>
    </w:tbl>
    <w:p>
      <w:pPr>
        <w:pStyle w:val="ImageCaption"/>
      </w:pPr>
      <w:r>
        <w:t xml:space="preserve">ML-based RANS model results: (a)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profiles, (b) force profiles.</w:t>
      </w:r>
    </w:p>
    <w:bookmarkEnd w:id="27"/>
    <w:bookmarkEnd w:id="28"/>
    <w:bookmarkStart w:id="68" w:name="sec: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A CFD-ML methodology was presented to build a turbulence closure that improves</w:t>
      </w:r>
      <w:r>
        <w:t xml:space="preserve"> </w:t>
      </w:r>
      <w:r>
        <w:t xml:space="preserve">the fidelity of RANS simulations of HAWT wakes while keeping the computational</w:t>
      </w:r>
      <w:r>
        <w:t xml:space="preserve"> </w:t>
      </w:r>
      <w:r>
        <w:t xml:space="preserve">cost compatible with wind farm applications. An LES-equivalent eddy viscosity</w:t>
      </w:r>
      <w:r>
        <w:t xml:space="preserve"> </w:t>
      </w:r>
      <w:r>
        <w:t xml:space="preserve">extracted from a LES of the NREL-5MW turbine was used as target, a K-means</w:t>
      </w:r>
      <w:r>
        <w:t xml:space="preserve"> </w:t>
      </w:r>
      <w:r>
        <w:t xml:space="preserve">clustering segmented the domain into seven physically meaningful flow regions,</w:t>
      </w:r>
      <w:r>
        <w:t xml:space="preserve"> </w:t>
      </w:r>
      <w:r>
        <w:t xml:space="preserve">and an MLP learned the eddy-viscosity correction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ν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, embedded into a modified</w:t>
      </w:r>
      <w:r>
        <w:t xml:space="preserve"> </w:t>
      </w:r>
      <w:r>
        <w:t xml:space="preserve">OpenFOAM PIMPLE solver. The network reproduced the LES-equivalent closure with a</w:t>
      </w:r>
      <w:r>
        <w:t xml:space="preserve"> </w:t>
      </w:r>
      <w:r>
        <w:t xml:space="preserve">validation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0.9934</m:t>
        </m:r>
      </m:oMath>
      <w:r>
        <w:t xml:space="preserve">, and clustering proved decisive in the near-terrain</w:t>
      </w:r>
      <w:r>
        <w:t xml:space="preserve"> </w:t>
      </w:r>
      <w:r>
        <w:t xml:space="preserve">region. Once embedded, the ML-based RANS model consistently outperformed the</w:t>
      </w:r>
      <w:r>
        <w:t xml:space="preserve"> </w:t>
      </w:r>
      <w:r>
        <w:t xml:space="preserve">standard RANS model in both near- and far-wake; most notably, on ultra-coarse</w:t>
      </w:r>
      <w:r>
        <w:t xml:space="preserve"> </w:t>
      </w:r>
      <w:r>
        <w:t xml:space="preserve">grids it accurately reproduced the post-breakdown far-wake recovery at a cost</w:t>
      </w:r>
      <w:r>
        <w:t xml:space="preserve"> </w:t>
      </w:r>
      <w:r>
        <w:t xml:space="preserve">about</w:t>
      </w:r>
      <w:r>
        <w:t xml:space="preserve"> </w:t>
      </w:r>
      <m:oMath>
        <m:r>
          <m:t>1.25</m:t>
        </m:r>
      </m:oMath>
      <w:r>
        <w:t xml:space="preserve"> </w:t>
      </w:r>
      <w:r>
        <w:t xml:space="preserve">times lower than the reference LES, while also reproducing the rotor</w:t>
      </w:r>
      <w:r>
        <w:t xml:space="preserve"> </w:t>
      </w:r>
      <w:r>
        <w:t xml:space="preserve">forces and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/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coefficients. The model was trained on a single operating</w:t>
      </w:r>
      <w:r>
        <w:t xml:space="preserve"> </w:t>
      </w:r>
      <w:r>
        <w:t xml:space="preserve">condition and a relatively small dataset, which limits its generalisation; future</w:t>
      </w:r>
      <w:r>
        <w:t xml:space="preserve"> </w:t>
      </w:r>
      <w:r>
        <w:t xml:space="preserve">work will enlarge the training dataset to multiple inflow conditions and extend</w:t>
      </w:r>
      <w:r>
        <w:t xml:space="preserve"> </w:t>
      </w:r>
      <w:r>
        <w:t xml:space="preserve">the methodology to multi-turbine configurations, towards compact, data-driven</w:t>
      </w:r>
      <w:r>
        <w:t xml:space="preserve"> </w:t>
      </w:r>
      <w:r>
        <w:t xml:space="preserve">closures suitable for real-time wind farm monitoring and control.</w:t>
      </w:r>
    </w:p>
    <w:bookmarkStart w:id="67" w:name="refs"/>
    <w:bookmarkStart w:id="30" w:name="ref-Porte-Agel2020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F. Porté-Agel, M. Bastankhah, and S. Shamsoddin,</w:t>
      </w:r>
      <w:r>
        <w:t xml:space="preserve"> </w:t>
      </w:r>
      <w:r>
        <w:t xml:space="preserve">“Wind-turbine and wind-farm flows: A review,”</w:t>
      </w:r>
      <w:r>
        <w:t xml:space="preserve"> </w:t>
      </w:r>
      <w:r>
        <w:rPr>
          <w:i/>
          <w:iCs/>
        </w:rPr>
        <w:t xml:space="preserve">Boundary-Layer Meteorology</w:t>
      </w:r>
      <w:r>
        <w:t xml:space="preserve">, vol. 174, Jan. 2020, doi:</w:t>
      </w:r>
      <w:r>
        <w:t xml:space="preserve"> </w:t>
      </w:r>
      <w:hyperlink r:id="rId29">
        <w:r>
          <w:rPr>
            <w:rStyle w:val="Hyperlink"/>
          </w:rPr>
          <w:t xml:space="preserve">10.1007/s10546-019-00473-0</w:t>
        </w:r>
      </w:hyperlink>
      <w:r>
        <w:t xml:space="preserve">.</w:t>
      </w:r>
    </w:p>
    <w:bookmarkEnd w:id="30"/>
    <w:bookmarkStart w:id="32" w:name="ref-Steiner202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J. Steiner, R. Dwight, and A. Vire,</w:t>
      </w:r>
      <w:r>
        <w:t xml:space="preserve"> </w:t>
      </w:r>
      <w:r>
        <w:t xml:space="preserve">“Data-driven RANS closures for wind turbine wakes under neutral conditions,”</w:t>
      </w:r>
      <w:r>
        <w:t xml:space="preserve"> </w:t>
      </w:r>
      <w:r>
        <w:rPr>
          <w:i/>
          <w:iCs/>
        </w:rPr>
        <w:t xml:space="preserve">Computers &amp; Fluids</w:t>
      </w:r>
      <w:r>
        <w:t xml:space="preserve">, vol. 233, p. 105213, Nov. 2021, doi:</w:t>
      </w:r>
      <w:r>
        <w:t xml:space="preserve"> </w:t>
      </w:r>
      <w:hyperlink r:id="rId31">
        <w:r>
          <w:rPr>
            <w:rStyle w:val="Hyperlink"/>
          </w:rPr>
          <w:t xml:space="preserve">10.1016/j.compfluid.2021.105213</w:t>
        </w:r>
      </w:hyperlink>
      <w:r>
        <w:t xml:space="preserve">.</w:t>
      </w:r>
    </w:p>
    <w:bookmarkEnd w:id="32"/>
    <w:bookmarkStart w:id="34" w:name="ref-72116acdc5aa4b3b8fc752f1b2fa9958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Steiner,</w:t>
      </w:r>
      <w:r>
        <w:t xml:space="preserve"> </w:t>
      </w:r>
      <w:r>
        <w:t xml:space="preserve">“Towards data-driven turbulence modeling for wind turbine wakes,”</w:t>
      </w:r>
      <w:r>
        <w:t xml:space="preserve"> </w:t>
      </w:r>
      <w:r>
        <w:t xml:space="preserve">Dissertation (TU Delft), Delft University of Technology, 2023. doi:</w:t>
      </w:r>
      <w:r>
        <w:t xml:space="preserve"> </w:t>
      </w:r>
      <w:hyperlink r:id="rId33">
        <w:r>
          <w:rPr>
            <w:rStyle w:val="Hyperlink"/>
          </w:rPr>
          <w:t xml:space="preserve">10.4233/uuid:72116acd-c5aa-4b3b-8fc7-52f1b2fa9958</w:t>
        </w:r>
      </w:hyperlink>
      <w:r>
        <w:t xml:space="preserve">.</w:t>
      </w:r>
    </w:p>
    <w:bookmarkEnd w:id="34"/>
    <w:bookmarkStart w:id="36" w:name="ref-GholamiAnjiraki202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Gholami Anjiraki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“Wind farm layout optimization using a novel machine learning approach.”</w:t>
      </w:r>
      <w:r>
        <w:t xml:space="preserve"> </w:t>
      </w:r>
      <w:r>
        <w:t xml:space="preserve">Sep. 2025. doi:</w:t>
      </w:r>
      <w:r>
        <w:t xml:space="preserve"> </w:t>
      </w:r>
      <w:hyperlink r:id="rId35">
        <w:r>
          <w:rPr>
            <w:rStyle w:val="Hyperlink"/>
          </w:rPr>
          <w:t xml:space="preserve">10.48550/arXiv.2509.07868</w:t>
        </w:r>
      </w:hyperlink>
      <w:r>
        <w:t xml:space="preserve">.</w:t>
      </w:r>
    </w:p>
    <w:bookmarkEnd w:id="36"/>
    <w:bookmarkStart w:id="38" w:name="ref-Duraisamy201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K. Duraisamy, G. Iaccarino, and H. Xiao,</w:t>
      </w:r>
      <w:r>
        <w:t xml:space="preserve"> </w:t>
      </w:r>
      <w:r>
        <w:t xml:space="preserve">“Turbulence modeling in the age of data,”</w:t>
      </w:r>
      <w:r>
        <w:t xml:space="preserve"> </w:t>
      </w:r>
      <w:r>
        <w:rPr>
          <w:i/>
          <w:iCs/>
        </w:rPr>
        <w:t xml:space="preserve">Annual Review of Fluid Mechanics</w:t>
      </w:r>
      <w:r>
        <w:t xml:space="preserve">, vol. 51, Jan. 2019, doi:</w:t>
      </w:r>
      <w:r>
        <w:t xml:space="preserve"> </w:t>
      </w:r>
      <w:hyperlink r:id="rId37">
        <w:r>
          <w:rPr>
            <w:rStyle w:val="Hyperlink"/>
          </w:rPr>
          <w:t xml:space="preserve">10.1146/annurev-fluid-010518-040547</w:t>
        </w:r>
      </w:hyperlink>
      <w:r>
        <w:t xml:space="preserve">.</w:t>
      </w:r>
    </w:p>
    <w:bookmarkEnd w:id="38"/>
    <w:bookmarkStart w:id="40" w:name="ref-Ling201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J. Ling, A. Kurzawski, and J. Templeton,</w:t>
      </w:r>
      <w:r>
        <w:t xml:space="preserve"> </w:t>
      </w:r>
      <w:r>
        <w:t xml:space="preserve">“Reynolds averaged turbulence modelling using deep neural networks with embedded invariance,”</w:t>
      </w:r>
      <w:r>
        <w:t xml:space="preserve"> </w:t>
      </w:r>
      <w:r>
        <w:rPr>
          <w:i/>
          <w:iCs/>
        </w:rPr>
        <w:t xml:space="preserve">Journal of Fluid Mechanics</w:t>
      </w:r>
      <w:r>
        <w:t xml:space="preserve">, vol. 807, pp. 155–166, Nov. 2016, doi:</w:t>
      </w:r>
      <w:r>
        <w:t xml:space="preserve"> </w:t>
      </w:r>
      <w:hyperlink r:id="rId39">
        <w:r>
          <w:rPr>
            <w:rStyle w:val="Hyperlink"/>
          </w:rPr>
          <w:t xml:space="preserve">10.1017/jfm.2016.615</w:t>
        </w:r>
      </w:hyperlink>
      <w:r>
        <w:t xml:space="preserve">.</w:t>
      </w:r>
    </w:p>
    <w:bookmarkEnd w:id="40"/>
    <w:bookmarkStart w:id="42" w:name="ref-King_2018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N. King, C. Adcock, J. Annoni, and K. Dykes,</w:t>
      </w:r>
      <w:r>
        <w:t xml:space="preserve"> </w:t>
      </w:r>
      <w:r>
        <w:t xml:space="preserve">“Data-driven machine learning for wind plant flow modeling,”</w:t>
      </w:r>
      <w:r>
        <w:t xml:space="preserve"> </w:t>
      </w:r>
      <w:r>
        <w:rPr>
          <w:i/>
          <w:iCs/>
        </w:rPr>
        <w:t xml:space="preserve">Journal of Physics: Conference Series</w:t>
      </w:r>
      <w:r>
        <w:t xml:space="preserve">, vol. 1037, no. 7, p. 072004, Jun. 2018, doi:</w:t>
      </w:r>
      <w:r>
        <w:t xml:space="preserve"> </w:t>
      </w:r>
      <w:hyperlink r:id="rId41">
        <w:r>
          <w:rPr>
            <w:rStyle w:val="Hyperlink"/>
          </w:rPr>
          <w:t xml:space="preserve">10.1088/1742-6596/1037/7/072004</w:t>
        </w:r>
      </w:hyperlink>
      <w:r>
        <w:t xml:space="preserve">.</w:t>
      </w:r>
    </w:p>
    <w:bookmarkEnd w:id="42"/>
    <w:bookmarkStart w:id="44" w:name="ref-Clustering_tieghi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Tieghi, D. Cerbarano, F. De Girolamo, V. Barnabei, and G. Delibra,</w:t>
      </w:r>
      <w:r>
        <w:t xml:space="preserve"> </w:t>
      </w:r>
      <w:r>
        <w:t xml:space="preserve">“A novel methodology for the automatic decomposition of HAWT wakes with k–means clustering,”</w:t>
      </w:r>
      <w:r>
        <w:t xml:space="preserve"> </w:t>
      </w:r>
      <w:r>
        <w:rPr>
          <w:i/>
          <w:iCs/>
        </w:rPr>
        <w:t xml:space="preserve">Wind Energy</w:t>
      </w:r>
      <w:r>
        <w:t xml:space="preserve">, vol. 28, May 2025, doi:</w:t>
      </w:r>
      <w:r>
        <w:t xml:space="preserve"> </w:t>
      </w:r>
      <w:hyperlink r:id="rId43">
        <w:r>
          <w:rPr>
            <w:rStyle w:val="Hyperlink"/>
          </w:rPr>
          <w:t xml:space="preserve">10.1002/we.70030</w:t>
        </w:r>
      </w:hyperlink>
      <w:r>
        <w:t xml:space="preserve">.</w:t>
      </w:r>
    </w:p>
    <w:bookmarkEnd w:id="44"/>
    <w:bookmarkStart w:id="45" w:name="ref-Carloni2026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Carloni, G. Delibra, F. De Girolamo, V. F. Barnabei, and L. Tieghi,</w:t>
      </w:r>
      <w:r>
        <w:t xml:space="preserve"> </w:t>
      </w:r>
      <w:r>
        <w:t xml:space="preserve">“Data-driven decomposition of horizontal-axis wind-turbine wakes,”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ASME turbo expo 2026</w:t>
      </w:r>
      <w:r>
        <w:t xml:space="preserve">, Milan, Italy, 2026.</w:t>
      </w:r>
    </w:p>
    <w:bookmarkEnd w:id="45"/>
    <w:bookmarkStart w:id="47" w:name="ref-10.1115/1.147136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N. Sorensen and W. Z. Shen,</w:t>
      </w:r>
      <w:r>
        <w:t xml:space="preserve"> </w:t>
      </w:r>
      <w:r>
        <w:t xml:space="preserve">“Numerical modeling of wind turbine wakes,”</w:t>
      </w:r>
      <w:r>
        <w:t xml:space="preserve"> </w:t>
      </w:r>
      <w:r>
        <w:rPr>
          <w:i/>
          <w:iCs/>
        </w:rPr>
        <w:t xml:space="preserve">Journal of Fluids Engineering</w:t>
      </w:r>
      <w:r>
        <w:t xml:space="preserve">, vol. 124, no. 2, pp. 393–399, May 2002, doi:</w:t>
      </w:r>
      <w:r>
        <w:t xml:space="preserve"> </w:t>
      </w:r>
      <w:hyperlink r:id="rId46">
        <w:r>
          <w:rPr>
            <w:rStyle w:val="Hyperlink"/>
          </w:rPr>
          <w:t xml:space="preserve">10.1115/1.1471361</w:t>
        </w:r>
      </w:hyperlink>
      <w:r>
        <w:t xml:space="preserve">.</w:t>
      </w:r>
    </w:p>
    <w:bookmarkEnd w:id="47"/>
    <w:bookmarkStart w:id="49" w:name="ref-turbinesFoa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P. Bachant, A. Goude, and M. Wosnik,</w:t>
      </w:r>
      <w:r>
        <w:t xml:space="preserve"> </w:t>
      </w:r>
      <w:r>
        <w:t xml:space="preserve">“turbinesFoam.”</w:t>
      </w:r>
      <w:r>
        <w:t xml:space="preserve"> </w:t>
      </w:r>
      <w:r>
        <w:t xml:space="preserve">Zenodo, Apr. 2016. doi:</w:t>
      </w:r>
      <w:r>
        <w:t xml:space="preserve"> </w:t>
      </w:r>
      <w:hyperlink r:id="rId48">
        <w:r>
          <w:rPr>
            <w:rStyle w:val="Hyperlink"/>
          </w:rPr>
          <w:t xml:space="preserve">10.5281/zenodo.49422</w:t>
        </w:r>
      </w:hyperlink>
      <w:r>
        <w:t xml:space="preserve">.</w:t>
      </w:r>
    </w:p>
    <w:bookmarkEnd w:id="49"/>
    <w:bookmarkStart w:id="51" w:name="ref-doi:10.2514/3.12149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F. R. Menter,</w:t>
      </w:r>
      <w:r>
        <w:t xml:space="preserve"> </w:t>
      </w:r>
      <w:r>
        <w:t xml:space="preserve">“Two-equation eddy-viscosity turbulence models for engineering applications,”</w:t>
      </w:r>
      <w:r>
        <w:t xml:space="preserve"> </w:t>
      </w:r>
      <w:r>
        <w:rPr>
          <w:i/>
          <w:iCs/>
        </w:rPr>
        <w:t xml:space="preserve">AIAA Journal</w:t>
      </w:r>
      <w:r>
        <w:t xml:space="preserve">, vol. 32, no. 8, pp. 1598–1605, 1994, doi:</w:t>
      </w:r>
      <w:r>
        <w:t xml:space="preserve"> </w:t>
      </w:r>
      <w:hyperlink r:id="rId50">
        <w:r>
          <w:rPr>
            <w:rStyle w:val="Hyperlink"/>
          </w:rPr>
          <w:t xml:space="preserve">10.2514/3.12149</w:t>
        </w:r>
      </w:hyperlink>
      <w:r>
        <w:t xml:space="preserve">.</w:t>
      </w:r>
    </w:p>
    <w:bookmarkEnd w:id="51"/>
    <w:bookmarkStart w:id="52" w:name="ref-WA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F. Nicoud and F. Ducros,</w:t>
      </w:r>
      <w:r>
        <w:t xml:space="preserve"> </w:t>
      </w:r>
      <w:r>
        <w:t xml:space="preserve">“Subgrid-scale stress modelling based on the square of the velocity gradient tensor,”</w:t>
      </w:r>
      <w:r>
        <w:t xml:space="preserve"> </w:t>
      </w:r>
      <w:r>
        <w:rPr>
          <w:i/>
          <w:iCs/>
        </w:rPr>
        <w:t xml:space="preserve">Flow, turbulence and Combustion</w:t>
      </w:r>
      <w:r>
        <w:t xml:space="preserve">, vol. 62, no. 3, pp. 183–200, 1999.</w:t>
      </w:r>
    </w:p>
    <w:bookmarkEnd w:id="52"/>
    <w:bookmarkStart w:id="54" w:name="ref-kaima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J. C. Kaimal, J. C. Wyngaard, Y. Izumi, and O. R. Coté,</w:t>
      </w:r>
      <w:r>
        <w:t xml:space="preserve"> </w:t>
      </w:r>
      <w:r>
        <w:t xml:space="preserve">“Spectral characteristics of surface-layer turbulence,”</w:t>
      </w:r>
      <w:r>
        <w:t xml:space="preserve"> </w:t>
      </w:r>
      <w:r>
        <w:rPr>
          <w:i/>
          <w:iCs/>
        </w:rPr>
        <w:t xml:space="preserve">Quarterly Journal of the Royal Meteorological Society</w:t>
      </w:r>
      <w:r>
        <w:t xml:space="preserve">, vol. 98, no. 417, pp. 563–589, 1972, doi:</w:t>
      </w:r>
      <w:r>
        <w:t xml:space="preserve"> </w:t>
      </w:r>
      <w:hyperlink r:id="rId53">
        <w:r>
          <w:rPr>
            <w:rStyle w:val="Hyperlink"/>
          </w:rPr>
          <w:t xml:space="preserve">https://doi.org/10.1002/qj.49709841707</w:t>
        </w:r>
      </w:hyperlink>
      <w:r>
        <w:t xml:space="preserve">.</w:t>
      </w:r>
    </w:p>
    <w:bookmarkEnd w:id="54"/>
    <w:bookmarkStart w:id="55" w:name="ref-Davidson2007UsingI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L. Davidson,</w:t>
      </w:r>
      <w:r>
        <w:t xml:space="preserve"> </w:t>
      </w:r>
      <w:r>
        <w:t xml:space="preserve">“Using isotropic synthetic fluctuations as inlet boundary conditions for unsteady simulations,”</w:t>
      </w:r>
      <w:r>
        <w:t xml:space="preserve"> </w:t>
      </w:r>
      <w:r>
        <w:rPr>
          <w:i/>
          <w:iCs/>
        </w:rPr>
        <w:t xml:space="preserve">Advances and Applications in Fluid Mechanics</w:t>
      </w:r>
      <w:r>
        <w:t xml:space="preserve">, vol. 1, pp. 1–35, 2007.</w:t>
      </w:r>
    </w:p>
    <w:bookmarkEnd w:id="55"/>
    <w:bookmarkStart w:id="56" w:name="ref-scikit-learn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F. 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</w:t>
      </w:r>
      <w:r>
        <w:t xml:space="preserve">ython,”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12, pp. 2825–2830, 2011.</w:t>
      </w:r>
    </w:p>
    <w:bookmarkEnd w:id="56"/>
    <w:bookmarkStart w:id="58" w:name="ref-tensorflow2015-whitepape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M. Abadi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TensorFlow</w:t>
      </w:r>
      <w:r>
        <w:t xml:space="preserve">: Large-scale machine learning on heterogeneous systems.”</w:t>
      </w:r>
      <w:r>
        <w:t xml:space="preserve"> </w:t>
      </w:r>
      <w:r>
        <w:t xml:space="preserve">2015. Available:</w:t>
      </w:r>
      <w:r>
        <w:t xml:space="preserve"> </w:t>
      </w:r>
      <w:hyperlink r:id="rId57">
        <w:r>
          <w:rPr>
            <w:rStyle w:val="Hyperlink"/>
          </w:rPr>
          <w:t xml:space="preserve">https://www.tensorflow.org/</w:t>
        </w:r>
      </w:hyperlink>
    </w:p>
    <w:bookmarkEnd w:id="58"/>
    <w:bookmarkStart w:id="60" w:name="ref-NREL_5MW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J. Jonkman,</w:t>
      </w:r>
      <w:r>
        <w:t xml:space="preserve"> </w:t>
      </w:r>
      <w:r>
        <w:t xml:space="preserve">“Definition of a 5-MW reference wind turbine for offshore system development.”</w:t>
      </w:r>
      <w:r>
        <w:t xml:space="preserve"> </w:t>
      </w:r>
      <w:r>
        <w:t xml:space="preserve">2009. doi:</w:t>
      </w:r>
      <w:r>
        <w:t xml:space="preserve"> </w:t>
      </w:r>
      <w:hyperlink r:id="rId59">
        <w:r>
          <w:rPr>
            <w:rStyle w:val="Hyperlink"/>
          </w:rPr>
          <w:t xml:space="preserve">10.2172/947422</w:t>
        </w:r>
      </w:hyperlink>
      <w:r>
        <w:t xml:space="preserve">.</w:t>
      </w:r>
    </w:p>
    <w:bookmarkEnd w:id="60"/>
    <w:bookmarkStart w:id="62" w:name="ref-inproceeding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L. Martínez Tossas, S. Leonardi, M. Churchfield, and P. Moriarty,</w:t>
      </w:r>
      <w:r>
        <w:t xml:space="preserve"> </w:t>
      </w:r>
      <w:r>
        <w:t xml:space="preserve">“A comparison of actuator disk and actuator line wind turbine models and best practices for their use,”</w:t>
      </w:r>
      <w:r>
        <w:t xml:space="preserve"> </w:t>
      </w:r>
      <w:r>
        <w:t xml:space="preserve">Jan. 2012. doi:</w:t>
      </w:r>
      <w:r>
        <w:t xml:space="preserve"> </w:t>
      </w:r>
      <w:hyperlink r:id="rId61">
        <w:r>
          <w:rPr>
            <w:rStyle w:val="Hyperlink"/>
          </w:rPr>
          <w:t xml:space="preserve">10.2514/6.2012-900</w:t>
        </w:r>
      </w:hyperlink>
      <w:r>
        <w:t xml:space="preserve">.</w:t>
      </w:r>
    </w:p>
    <w:bookmarkEnd w:id="62"/>
    <w:bookmarkStart w:id="64" w:name="ref-alessio5-mw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L. Cappugi, A. Castorrini, A. Bonfiglioli, E. Minisci, and S. Campobasso,</w:t>
      </w:r>
      <w:r>
        <w:t xml:space="preserve"> </w:t>
      </w:r>
      <w:r>
        <w:t xml:space="preserve">“Machine learning-enabled prediction of wind turbine energy yield losses due to general blade leading edge erosion,”</w:t>
      </w:r>
      <w:r>
        <w:t xml:space="preserve"> </w:t>
      </w:r>
      <w:r>
        <w:rPr>
          <w:i/>
          <w:iCs/>
        </w:rPr>
        <w:t xml:space="preserve">Energy Conversion and Management</w:t>
      </w:r>
      <w:r>
        <w:t xml:space="preserve">, vol. 245, p. 114567, Oct. 2021, doi:</w:t>
      </w:r>
      <w:r>
        <w:t xml:space="preserve"> </w:t>
      </w:r>
      <w:hyperlink r:id="rId63">
        <w:r>
          <w:rPr>
            <w:rStyle w:val="Hyperlink"/>
          </w:rPr>
          <w:t xml:space="preserve">10.1016/j.enconman.2021.114567</w:t>
        </w:r>
      </w:hyperlink>
      <w:r>
        <w:t xml:space="preserve">.</w:t>
      </w:r>
    </w:p>
    <w:bookmarkEnd w:id="64"/>
    <w:bookmarkStart w:id="66" w:name="ref-Troldborg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N. Troldborg, F. Zahle, P.-E. Réthoré, and N. N. Sørensen,</w:t>
      </w:r>
      <w:r>
        <w:t xml:space="preserve"> </w:t>
      </w:r>
      <w:r>
        <w:t xml:space="preserve">“Comparison of wind turbine wake properties in non-sheared inflow predicted by different computational fluid dynamics rotor models,”</w:t>
      </w:r>
      <w:r>
        <w:t xml:space="preserve"> </w:t>
      </w:r>
      <w:r>
        <w:rPr>
          <w:i/>
          <w:iCs/>
        </w:rPr>
        <w:t xml:space="preserve">Wind Energy</w:t>
      </w:r>
      <w:r>
        <w:t xml:space="preserve">, vol. 18, no. 7, pp. 1239–1250, 2015, doi:</w:t>
      </w:r>
      <w:r>
        <w:t xml:space="preserve"> </w:t>
      </w:r>
      <w:hyperlink r:id="rId65">
        <w:r>
          <w:rPr>
            <w:rStyle w:val="Hyperlink"/>
          </w:rPr>
          <w:t xml:space="preserve">https://doi.org/10.1002/we.1757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hyperlink" Id="rId53" Target="https://doi.org/10.1002/qj.49709841707" TargetMode="External" /><Relationship Type="http://schemas.openxmlformats.org/officeDocument/2006/relationships/hyperlink" Id="rId65" Target="https://doi.org/10.1002/we.1757" TargetMode="External" /><Relationship Type="http://schemas.openxmlformats.org/officeDocument/2006/relationships/hyperlink" Id="rId43" Target="https://doi.org/10.1002/we.70030" TargetMode="External" /><Relationship Type="http://schemas.openxmlformats.org/officeDocument/2006/relationships/hyperlink" Id="rId29" Target="https://doi.org/10.1007/s10546-019-00473-0" TargetMode="External" /><Relationship Type="http://schemas.openxmlformats.org/officeDocument/2006/relationships/hyperlink" Id="rId31" Target="https://doi.org/10.1016/j.compfluid.2021.105213" TargetMode="External" /><Relationship Type="http://schemas.openxmlformats.org/officeDocument/2006/relationships/hyperlink" Id="rId63" Target="https://doi.org/10.1016/j.enconman.2021.114567" TargetMode="External" /><Relationship Type="http://schemas.openxmlformats.org/officeDocument/2006/relationships/hyperlink" Id="rId39" Target="https://doi.org/10.1017/jfm.2016.615" TargetMode="External" /><Relationship Type="http://schemas.openxmlformats.org/officeDocument/2006/relationships/hyperlink" Id="rId41" Target="https://doi.org/10.1088/1742-6596/1037/7/072004" TargetMode="External" /><Relationship Type="http://schemas.openxmlformats.org/officeDocument/2006/relationships/hyperlink" Id="rId46" Target="https://doi.org/10.1115/1.1471361" TargetMode="External" /><Relationship Type="http://schemas.openxmlformats.org/officeDocument/2006/relationships/hyperlink" Id="rId37" Target="https://doi.org/10.1146/annurev-fluid-010518-040547" TargetMode="External" /><Relationship Type="http://schemas.openxmlformats.org/officeDocument/2006/relationships/hyperlink" Id="rId59" Target="https://doi.org/10.2172/947422" TargetMode="External" /><Relationship Type="http://schemas.openxmlformats.org/officeDocument/2006/relationships/hyperlink" Id="rId50" Target="https://doi.org/10.2514/3.12149" TargetMode="External" /><Relationship Type="http://schemas.openxmlformats.org/officeDocument/2006/relationships/hyperlink" Id="rId61" Target="https://doi.org/10.2514/6.2012-900" TargetMode="External" /><Relationship Type="http://schemas.openxmlformats.org/officeDocument/2006/relationships/hyperlink" Id="rId33" Target="https://doi.org/10.4233/uuid:72116acd-c5aa-4b3b-8fc7-52f1b2fa9958" TargetMode="External" /><Relationship Type="http://schemas.openxmlformats.org/officeDocument/2006/relationships/hyperlink" Id="rId35" Target="https://doi.org/10.48550/arXiv.2509.07868" TargetMode="External" /><Relationship Type="http://schemas.openxmlformats.org/officeDocument/2006/relationships/hyperlink" Id="rId48" Target="https://doi.org/10.5281/zenodo.49422" TargetMode="External" /><Relationship Type="http://schemas.openxmlformats.org/officeDocument/2006/relationships/hyperlink" Id="rId57" Target="https://www.tensorflow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doi.org/10.1002/qj.49709841707" TargetMode="External" /><Relationship Type="http://schemas.openxmlformats.org/officeDocument/2006/relationships/hyperlink" Id="rId65" Target="https://doi.org/10.1002/we.1757" TargetMode="External" /><Relationship Type="http://schemas.openxmlformats.org/officeDocument/2006/relationships/hyperlink" Id="rId43" Target="https://doi.org/10.1002/we.70030" TargetMode="External" /><Relationship Type="http://schemas.openxmlformats.org/officeDocument/2006/relationships/hyperlink" Id="rId29" Target="https://doi.org/10.1007/s10546-019-00473-0" TargetMode="External" /><Relationship Type="http://schemas.openxmlformats.org/officeDocument/2006/relationships/hyperlink" Id="rId31" Target="https://doi.org/10.1016/j.compfluid.2021.105213" TargetMode="External" /><Relationship Type="http://schemas.openxmlformats.org/officeDocument/2006/relationships/hyperlink" Id="rId63" Target="https://doi.org/10.1016/j.enconman.2021.114567" TargetMode="External" /><Relationship Type="http://schemas.openxmlformats.org/officeDocument/2006/relationships/hyperlink" Id="rId39" Target="https://doi.org/10.1017/jfm.2016.615" TargetMode="External" /><Relationship Type="http://schemas.openxmlformats.org/officeDocument/2006/relationships/hyperlink" Id="rId41" Target="https://doi.org/10.1088/1742-6596/1037/7/072004" TargetMode="External" /><Relationship Type="http://schemas.openxmlformats.org/officeDocument/2006/relationships/hyperlink" Id="rId46" Target="https://doi.org/10.1115/1.1471361" TargetMode="External" /><Relationship Type="http://schemas.openxmlformats.org/officeDocument/2006/relationships/hyperlink" Id="rId37" Target="https://doi.org/10.1146/annurev-fluid-010518-040547" TargetMode="External" /><Relationship Type="http://schemas.openxmlformats.org/officeDocument/2006/relationships/hyperlink" Id="rId59" Target="https://doi.org/10.2172/947422" TargetMode="External" /><Relationship Type="http://schemas.openxmlformats.org/officeDocument/2006/relationships/hyperlink" Id="rId50" Target="https://doi.org/10.2514/3.12149" TargetMode="External" /><Relationship Type="http://schemas.openxmlformats.org/officeDocument/2006/relationships/hyperlink" Id="rId61" Target="https://doi.org/10.2514/6.2012-900" TargetMode="External" /><Relationship Type="http://schemas.openxmlformats.org/officeDocument/2006/relationships/hyperlink" Id="rId33" Target="https://doi.org/10.4233/uuid:72116acd-c5aa-4b3b-8fc7-52f1b2fa9958" TargetMode="External" /><Relationship Type="http://schemas.openxmlformats.org/officeDocument/2006/relationships/hyperlink" Id="rId35" Target="https://doi.org/10.48550/arXiv.2509.07868" TargetMode="External" /><Relationship Type="http://schemas.openxmlformats.org/officeDocument/2006/relationships/hyperlink" Id="rId48" Target="https://doi.org/10.5281/zenodo.49422" TargetMode="External" /><Relationship Type="http://schemas.openxmlformats.org/officeDocument/2006/relationships/hyperlink" Id="rId57" Target="https://www.tensorflow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2026-06-04T15:00:58Z</dcterms:created>
  <dcterms:modified xsi:type="dcterms:W3CDTF">2026-06-04T15:00:58Z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bib/ref.bib</vt:lpwstr>
  </property>
  <property fmtid="{D5CDD505-2E9C-101B-9397-08002B2CF9AE}" pid="3" name="csl">
    <vt:lpwstr>ieee.csl</vt:lpwstr>
  </property>
</Properties>
</file>