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C6470">
      <w:pPr>
        <w:pStyle w:val="12"/>
      </w:pPr>
      <w:r>
        <w:t>学生成绩管理系统</w:t>
      </w:r>
    </w:p>
    <w:p w14:paraId="020AFADC">
      <w:pPr>
        <w:pStyle w:val="12"/>
      </w:pPr>
      <w:r>
        <w:t>代码评审报告 与 软件设计过程归纳</w:t>
      </w:r>
    </w:p>
    <w:p w14:paraId="6C2181C9">
      <w:pPr>
        <w:pStyle w:val="17"/>
      </w:pPr>
      <w:r>
        <w:t>本报告面向基于 C# WinForms + SQLite 的学生成绩管理系统，先系统梳理其软件设计过程作为知识归档，再对全部代码（窗体层 Forms、服务层 Services、模型层 Models、入口 Program）进行分层评审，输出按严重级别归类的缺陷清单与重构路线图，供后续迭代与复盘使用。</w:t>
      </w:r>
    </w:p>
    <w:p w14:paraId="105A0BFF">
      <w:pPr>
        <w:pStyle w:val="19"/>
      </w:pPr>
      <w:r>
        <w:t>第一部分  项目概述与技术选型</w:t>
      </w:r>
    </w:p>
    <w:p w14:paraId="3A1CC4D8">
      <w:pPr>
        <w:pStyle w:val="21"/>
      </w:pPr>
      <w:r>
        <w:t>1.1  项目背景与目标</w:t>
      </w:r>
    </w:p>
    <w:p w14:paraId="0543BA15">
      <w:pPr>
        <w:pStyle w:val="17"/>
      </w:pPr>
      <w:r>
        <w:t>系统服务于班级学生过程性成绩的采集与管理：教师按"授课日期 + 课程"调取当堂班级学生名单，对考勤、纪律、质量等评分维度逐人打分，并支持将班级、学生、教学日志、评分规则等基础数据通过 Excel 模板批量导入、按条件导出。核心目标是把线下 Excel 台账迁移到本地 SQLite 数据库，在单机环境下提供稳定、可追溯的记分与报表能力。</w:t>
      </w:r>
    </w:p>
    <w:p w14:paraId="1CDCC964">
      <w:pPr>
        <w:pStyle w:val="21"/>
      </w:pPr>
      <w:r>
        <w:t>1.2  技术选型</w:t>
      </w:r>
    </w:p>
    <w:tbl>
      <w:tblPr>
        <w:tblStyle w:val="9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7"/>
        <w:gridCol w:w="2987"/>
        <w:gridCol w:w="4154"/>
      </w:tblGrid>
      <w:tr w14:paraId="63A494A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shd w:val="clear" w:color="auto" w:fill="4472C4"/>
          </w:tcPr>
          <w:p w14:paraId="70309055">
            <w:pPr>
              <w:spacing w:before="20" w:after="20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层次</w:t>
            </w:r>
          </w:p>
        </w:tc>
        <w:tc>
          <w:tcPr>
            <w:tcW w:w="3000" w:type="dxa"/>
            <w:shd w:val="clear" w:color="auto" w:fill="4472C4"/>
          </w:tcPr>
          <w:p w14:paraId="63E32E33">
            <w:pPr>
              <w:spacing w:before="20" w:after="20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技术/组件</w:t>
            </w:r>
          </w:p>
        </w:tc>
        <w:tc>
          <w:tcPr>
            <w:tcW w:w="4200" w:type="dxa"/>
            <w:shd w:val="clear" w:color="auto" w:fill="4472C4"/>
          </w:tcPr>
          <w:p w14:paraId="348FB9AA">
            <w:pPr>
              <w:spacing w:before="20" w:after="20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选型理由</w:t>
            </w:r>
          </w:p>
        </w:tc>
      </w:tr>
      <w:tr w14:paraId="1583EBC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</w:tcPr>
          <w:p w14:paraId="5A08F695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界面层</w:t>
            </w:r>
          </w:p>
        </w:tc>
        <w:tc>
          <w:tcPr>
            <w:tcW w:w="3000" w:type="dxa"/>
          </w:tcPr>
          <w:p w14:paraId="591B90BA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WinForms (.NET)</w:t>
            </w:r>
          </w:p>
        </w:tc>
        <w:tc>
          <w:tcPr>
            <w:tcW w:w="4200" w:type="dxa"/>
          </w:tcPr>
          <w:p w14:paraId="6DB7AB89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桌面单机场景，DataGridView 适合表格化记分录入</w:t>
            </w:r>
          </w:p>
        </w:tc>
      </w:tr>
      <w:tr w14:paraId="2272375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</w:tcPr>
          <w:p w14:paraId="472C5D4C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数据库</w:t>
            </w:r>
          </w:p>
        </w:tc>
        <w:tc>
          <w:tcPr>
            <w:tcW w:w="3000" w:type="dxa"/>
          </w:tcPr>
          <w:p w14:paraId="1213ECDD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SQLite (Microsoft.Data.Sqlite)</w:t>
            </w:r>
          </w:p>
        </w:tc>
        <w:tc>
          <w:tcPr>
            <w:tcW w:w="4200" w:type="dxa"/>
          </w:tcPr>
          <w:p w14:paraId="325A84AB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零部署、单文件、随应用分发，适合单机台账</w:t>
            </w:r>
          </w:p>
        </w:tc>
      </w:tr>
      <w:tr w14:paraId="71FB331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</w:tcPr>
          <w:p w14:paraId="609BE392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Excel 读写</w:t>
            </w:r>
          </w:p>
        </w:tc>
        <w:tc>
          <w:tcPr>
            <w:tcW w:w="3000" w:type="dxa"/>
          </w:tcPr>
          <w:p w14:paraId="3AEA0B35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MiniExcel (MiniExcelLibs)</w:t>
            </w:r>
          </w:p>
        </w:tc>
        <w:tc>
          <w:tcPr>
            <w:tcW w:w="4200" w:type="dxa"/>
          </w:tcPr>
          <w:p w14:paraId="1F526610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轻量、强类型 + ExcelColumnName 列映射、多 Sheet 读写</w:t>
            </w:r>
          </w:p>
        </w:tc>
      </w:tr>
      <w:tr w14:paraId="59C2549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</w:tcPr>
          <w:p w14:paraId="22742113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事务</w:t>
            </w:r>
          </w:p>
        </w:tc>
        <w:tc>
          <w:tcPr>
            <w:tcW w:w="3000" w:type="dxa"/>
          </w:tcPr>
          <w:p w14:paraId="64F7B1F1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System.Transactions (TransactionScope)</w:t>
            </w:r>
          </w:p>
        </w:tc>
        <w:tc>
          <w:tcPr>
            <w:tcW w:w="4200" w:type="dxa"/>
          </w:tcPr>
          <w:p w14:paraId="2B966E5A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期望以代码块边界统一管理提交/回滚</w:t>
            </w:r>
          </w:p>
        </w:tc>
      </w:tr>
      <w:tr w14:paraId="6AA0C26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</w:tcPr>
          <w:p w14:paraId="3505E074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数据访问</w:t>
            </w:r>
          </w:p>
        </w:tc>
        <w:tc>
          <w:tcPr>
            <w:tcW w:w="3000" w:type="dxa"/>
          </w:tcPr>
          <w:p w14:paraId="23C2BA39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自封装 DbHelper + 反射参数绑定</w:t>
            </w:r>
          </w:p>
        </w:tc>
        <w:tc>
          <w:tcPr>
            <w:tcW w:w="4200" w:type="dxa"/>
          </w:tcPr>
          <w:p w14:paraId="45413171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集中连接与参数化，规避 SQL 注入</w:t>
            </w:r>
          </w:p>
        </w:tc>
      </w:tr>
    </w:tbl>
    <w:p w14:paraId="228301AE">
      <w:pPr>
        <w:pStyle w:val="17"/>
      </w:pPr>
    </w:p>
    <w:p w14:paraId="31B390B5">
      <w:pPr>
        <w:pStyle w:val="21"/>
      </w:pPr>
      <w:r>
        <w:t>1.3  功能模块</w:t>
      </w:r>
    </w:p>
    <w:p w14:paraId="605ADCDE">
      <w:pPr>
        <w:pStyle w:val="17"/>
      </w:pPr>
      <w:r>
        <w:t>主窗体（MainForm）承担初始化、下载模板、批量导入、按条件导出、进入记分页；记分页（Form1）承担按日期加载课程下拉、课程信息确认表（只读）、学生评分明细表（可编辑，含 0-100 输入校验、行号绘制）。服务层按职责拆分为 DatabaseInitializer、DbHelper、ImportService、ExportService、TemplateService。</w:t>
      </w:r>
    </w:p>
    <w:p w14:paraId="44A4BCFD">
      <w:pPr>
        <w:pStyle w:val="19"/>
      </w:pPr>
      <w:r>
        <w:t>第二部分  软件设计过程梳理（知识归纳）</w:t>
      </w:r>
    </w:p>
    <w:p w14:paraId="71871453">
      <w:pPr>
        <w:pStyle w:val="21"/>
      </w:pPr>
      <w:r>
        <w:t>2.1  分层架构设计</w:t>
      </w:r>
    </w:p>
    <w:p w14:paraId="53EB51C6">
      <w:pPr>
        <w:pStyle w:val="17"/>
      </w:pPr>
      <w:r>
        <w:t>项目采用经典的三层骨架：界面层（Forms）只负责渲染与交互，服务层（Services）承载数据访问与导入导出业务，模型层（Models）承载导入映射、导出筛选、界面绑定与结果封装四类数据对象。依赖自顶向下单向传递，DbHelper 作为唯一的数据访问底座被各服务复用。</w:t>
      </w:r>
    </w:p>
    <w:p w14:paraId="56AAF58B">
      <w:pPr>
        <w:pStyle w:val="17"/>
      </w:pPr>
      <w:r>
        <w:t>需要指出的偏差：记分页 Form1 直接在窗体方法内拼 SQL 查询（按日期查课程、按班级查学生），使"教学日志查询""学生查询"两块业务滞留在界面层，尚未下沉到服务层。这是分层上最需要收敛的一处，详见第三部分。</w:t>
      </w:r>
    </w:p>
    <w:p w14:paraId="2A391134">
      <w:pPr>
        <w:pStyle w:val="21"/>
      </w:pPr>
      <w:r>
        <w:t>2.2  数据模型与数据库设计</w:t>
      </w:r>
    </w:p>
    <w:p w14:paraId="663A1713">
      <w:pPr>
        <w:pStyle w:val="17"/>
      </w:pPr>
      <w:r>
        <w:t>数据库共五张表，围绕"班级—学生—评分规则—教学日志—评分明细"组织。导入时严格按外键依赖顺序级联执行，先建父表数据再建子表数据，保证引用完整性：</w:t>
      </w:r>
    </w:p>
    <w:tbl>
      <w:tblPr>
        <w:tblStyle w:val="9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6"/>
        <w:gridCol w:w="1517"/>
        <w:gridCol w:w="3312"/>
        <w:gridCol w:w="1523"/>
      </w:tblGrid>
      <w:tr w14:paraId="6C0D498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0" w:type="dxa"/>
            <w:shd w:val="clear" w:color="auto" w:fill="4472C4"/>
          </w:tcPr>
          <w:p w14:paraId="7123A863">
            <w:pPr>
              <w:spacing w:before="20" w:after="20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表</w:t>
            </w:r>
          </w:p>
        </w:tc>
        <w:tc>
          <w:tcPr>
            <w:tcW w:w="1600" w:type="dxa"/>
            <w:shd w:val="clear" w:color="auto" w:fill="4472C4"/>
          </w:tcPr>
          <w:p w14:paraId="54E0B583">
            <w:pPr>
              <w:spacing w:before="20" w:after="20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主键</w:t>
            </w:r>
          </w:p>
        </w:tc>
        <w:tc>
          <w:tcPr>
            <w:tcW w:w="3600" w:type="dxa"/>
            <w:shd w:val="clear" w:color="auto" w:fill="4472C4"/>
          </w:tcPr>
          <w:p w14:paraId="7EE0406D">
            <w:pPr>
              <w:spacing w:before="20" w:after="20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关键关系</w:t>
            </w:r>
          </w:p>
        </w:tc>
        <w:tc>
          <w:tcPr>
            <w:tcW w:w="1800" w:type="dxa"/>
            <w:shd w:val="clear" w:color="auto" w:fill="4472C4"/>
          </w:tcPr>
          <w:p w14:paraId="731B861C">
            <w:pPr>
              <w:spacing w:before="20" w:after="20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作用</w:t>
            </w:r>
          </w:p>
        </w:tc>
      </w:tr>
      <w:tr w14:paraId="1FED127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0" w:type="dxa"/>
          </w:tcPr>
          <w:p w14:paraId="04BC1730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Classes 班级</w:t>
            </w:r>
          </w:p>
        </w:tc>
        <w:tc>
          <w:tcPr>
            <w:tcW w:w="1600" w:type="dxa"/>
          </w:tcPr>
          <w:p w14:paraId="2900EB51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ClassID(自增)</w:t>
            </w:r>
          </w:p>
        </w:tc>
        <w:tc>
          <w:tcPr>
            <w:tcW w:w="3600" w:type="dxa"/>
          </w:tcPr>
          <w:p w14:paraId="07809BCF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ClassName 唯一</w:t>
            </w:r>
          </w:p>
        </w:tc>
        <w:tc>
          <w:tcPr>
            <w:tcW w:w="1800" w:type="dxa"/>
          </w:tcPr>
          <w:p w14:paraId="4399ED0A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基础父表</w:t>
            </w:r>
          </w:p>
        </w:tc>
      </w:tr>
      <w:tr w14:paraId="2D502BE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0" w:type="dxa"/>
          </w:tcPr>
          <w:p w14:paraId="392290FE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Students 学生</w:t>
            </w:r>
          </w:p>
        </w:tc>
        <w:tc>
          <w:tcPr>
            <w:tcW w:w="1600" w:type="dxa"/>
          </w:tcPr>
          <w:p w14:paraId="52F60609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StudentID</w:t>
            </w:r>
          </w:p>
        </w:tc>
        <w:tc>
          <w:tcPr>
            <w:tcW w:w="3600" w:type="dxa"/>
          </w:tcPr>
          <w:p w14:paraId="57382747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ClassName→Classes</w:t>
            </w:r>
          </w:p>
        </w:tc>
        <w:tc>
          <w:tcPr>
            <w:tcW w:w="1800" w:type="dxa"/>
          </w:tcPr>
          <w:p w14:paraId="56DC1B7E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按班级归属</w:t>
            </w:r>
          </w:p>
        </w:tc>
      </w:tr>
      <w:tr w14:paraId="658BC5C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0" w:type="dxa"/>
          </w:tcPr>
          <w:p w14:paraId="7B7FB7DD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ScoringRules 评分规则</w:t>
            </w:r>
          </w:p>
        </w:tc>
        <w:tc>
          <w:tcPr>
            <w:tcW w:w="1600" w:type="dxa"/>
          </w:tcPr>
          <w:p w14:paraId="22BCD701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RuleID(自增)</w:t>
            </w:r>
          </w:p>
        </w:tc>
        <w:tc>
          <w:tcPr>
            <w:tcW w:w="3600" w:type="dxa"/>
          </w:tcPr>
          <w:p w14:paraId="3534EFD0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RuleName 被引用</w:t>
            </w:r>
          </w:p>
        </w:tc>
        <w:tc>
          <w:tcPr>
            <w:tcW w:w="1800" w:type="dxa"/>
          </w:tcPr>
          <w:p w14:paraId="638898EA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考勤/纪律/质量维度</w:t>
            </w:r>
          </w:p>
        </w:tc>
      </w:tr>
      <w:tr w14:paraId="3666E94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0" w:type="dxa"/>
          </w:tcPr>
          <w:p w14:paraId="0158F2C2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TeachingLogs 教学日志</w:t>
            </w:r>
          </w:p>
        </w:tc>
        <w:tc>
          <w:tcPr>
            <w:tcW w:w="1600" w:type="dxa"/>
          </w:tcPr>
          <w:p w14:paraId="4EE76A2A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LogID(自增)</w:t>
            </w:r>
          </w:p>
        </w:tc>
        <w:tc>
          <w:tcPr>
            <w:tcW w:w="3600" w:type="dxa"/>
          </w:tcPr>
          <w:p w14:paraId="2CE5DDC6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ClassName→Classes</w:t>
            </w:r>
          </w:p>
        </w:tc>
        <w:tc>
          <w:tcPr>
            <w:tcW w:w="1800" w:type="dxa"/>
          </w:tcPr>
          <w:p w14:paraId="0DAFB494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日期+课程+节次定位一堂课</w:t>
            </w:r>
          </w:p>
        </w:tc>
      </w:tr>
      <w:tr w14:paraId="0A26ED3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0" w:type="dxa"/>
          </w:tcPr>
          <w:p w14:paraId="1BE22591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ScoreDetails 评分明细</w:t>
            </w:r>
          </w:p>
        </w:tc>
        <w:tc>
          <w:tcPr>
            <w:tcW w:w="1600" w:type="dxa"/>
          </w:tcPr>
          <w:p w14:paraId="74FC3E6D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DetailID(自增)</w:t>
            </w:r>
          </w:p>
        </w:tc>
        <w:tc>
          <w:tcPr>
            <w:tcW w:w="3600" w:type="dxa"/>
          </w:tcPr>
          <w:p w14:paraId="2EEEB8D4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LogID→TeachingLogs, StudentID→Students, RuleName→ScoringRules</w:t>
            </w:r>
          </w:p>
        </w:tc>
        <w:tc>
          <w:tcPr>
            <w:tcW w:w="1800" w:type="dxa"/>
          </w:tcPr>
          <w:p w14:paraId="1F63C9B0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记分结果落库</w:t>
            </w:r>
          </w:p>
        </w:tc>
      </w:tr>
    </w:tbl>
    <w:p w14:paraId="11D37442">
      <w:pPr>
        <w:pStyle w:val="17"/>
      </w:pPr>
    </w:p>
    <w:p w14:paraId="1EE920E5">
      <w:pPr>
        <w:pStyle w:val="17"/>
      </w:pPr>
      <w:r>
        <w:t>导入依赖顺序：班级管理 → 学生信息 → 评分规则 → 教学日志，与建表外键方向一致。</w:t>
      </w:r>
    </w:p>
    <w:p w14:paraId="2DFC2207">
      <w:pPr>
        <w:pStyle w:val="21"/>
      </w:pPr>
      <w:r>
        <w:t>2.3  关键设计决策</w:t>
      </w:r>
    </w:p>
    <w:p w14:paraId="6280DC72">
      <w:pPr>
        <w:pStyle w:val="23"/>
      </w:pPr>
      <w:r>
        <w:t>（1）MiniExcel 强类型 + ExcelColumnName 列映射</w:t>
      </w:r>
    </w:p>
    <w:p w14:paraId="5B4688C4">
      <w:pPr>
        <w:pStyle w:val="17"/>
      </w:pPr>
      <w:r>
        <w:t>导入用 ClassImportModel/StudentImportModel/ScoreRuleImportModel/TeachingLogImportModel 四个模型，以 [ExcelColumnName("中文列名")] 把 Excel 表头与属性绑定，数值列声明为可空类型（int?/double?），读取异常以 Invalid cast 暴露，便于集中捕获并友好提示。</w:t>
      </w:r>
    </w:p>
    <w:p w14:paraId="3B48FAB8">
      <w:pPr>
        <w:pStyle w:val="23"/>
      </w:pPr>
      <w:r>
        <w:t>（2）覆盖 / 跳过 双导入模式</w:t>
      </w:r>
    </w:p>
    <w:p w14:paraId="05D29B21">
      <w:pPr>
        <w:pStyle w:val="17"/>
      </w:pPr>
      <w:r>
        <w:t>以 overwriteExisting 开关区分两种语义：覆盖模式"先按业务键查询，命中则 UPDATE、未命中则 INSERT"，避开 SQLite INSERT OR REPLACE 的 DELETE+INSERT 改变主键、破坏外键的副作用；跳过模式"命中即记录、仅插新行"。这一取舍是合理且值得保留的。</w:t>
      </w:r>
    </w:p>
    <w:p w14:paraId="4C82AFB6">
      <w:pPr>
        <w:pStyle w:val="23"/>
      </w:pPr>
      <w:r>
        <w:t>（3）DbHelper 反射式参数绑定</w:t>
      </w:r>
    </w:p>
    <w:p w14:paraId="6688781D">
      <w:pPr>
        <w:pStyle w:val="17"/>
      </w:pPr>
      <w:r>
        <w:t>以匿名对象属性名（约定为 @属性名）反射映射为 SQL 参数，统一了参数化写法、消除拼接注入风险，并对可空返回类型（如 int?）做了 Nullable 拆箱处理。</w:t>
      </w:r>
    </w:p>
    <w:p w14:paraId="052C90E0">
      <w:pPr>
        <w:pStyle w:val="21"/>
      </w:pPr>
      <w:r>
        <w:t>2.4  一次典型缺陷的排查与根治过程（日期格式）</w:t>
      </w:r>
    </w:p>
    <w:p w14:paraId="064D9DBE">
      <w:pPr>
        <w:pStyle w:val="17"/>
      </w:pPr>
      <w:r>
        <w:t>本系统最具复盘价值的一次排障，是"选择授课日期后加载不出当堂课程"。其排查链条完整体现了"从现象定位到数据源、再到入库边界根治"的工程方法，归纳为六个阶段：</w:t>
      </w:r>
    </w:p>
    <w:tbl>
      <w:tblPr>
        <w:tblStyle w:val="9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3000"/>
        <w:gridCol w:w="4400"/>
      </w:tblGrid>
      <w:tr w14:paraId="7C2D2AA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shd w:val="clear" w:color="auto" w:fill="4472C4"/>
          </w:tcPr>
          <w:p w14:paraId="133E32A5">
            <w:pPr>
              <w:spacing w:before="20" w:after="20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阶段</w:t>
            </w:r>
          </w:p>
        </w:tc>
        <w:tc>
          <w:tcPr>
            <w:tcW w:w="3000" w:type="dxa"/>
            <w:shd w:val="clear" w:color="auto" w:fill="4472C4"/>
          </w:tcPr>
          <w:p w14:paraId="0134C7A5">
            <w:pPr>
              <w:spacing w:before="20" w:after="20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现象/假设</w:t>
            </w:r>
          </w:p>
        </w:tc>
        <w:tc>
          <w:tcPr>
            <w:tcW w:w="4400" w:type="dxa"/>
            <w:shd w:val="clear" w:color="auto" w:fill="4472C4"/>
          </w:tcPr>
          <w:p w14:paraId="337081F3">
            <w:pPr>
              <w:spacing w:before="20" w:after="20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定位与处置</w:t>
            </w:r>
          </w:p>
        </w:tc>
      </w:tr>
      <w:tr w14:paraId="2FC57A2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</w:tcPr>
          <w:p w14:paraId="7A96F8BC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① 现象</w:t>
            </w:r>
          </w:p>
        </w:tc>
        <w:tc>
          <w:tcPr>
            <w:tcW w:w="3000" w:type="dxa"/>
          </w:tcPr>
          <w:p w14:paraId="6B5BAD90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选了日期，课程列表为空</w:t>
            </w:r>
          </w:p>
        </w:tc>
        <w:tc>
          <w:tcPr>
            <w:tcW w:w="4400" w:type="dxa"/>
          </w:tcPr>
          <w:p w14:paraId="7D39E3B0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怀疑 date(TeachingDate) 比较失效</w:t>
            </w:r>
          </w:p>
        </w:tc>
      </w:tr>
      <w:tr w14:paraId="4BC4BC7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</w:tcPr>
          <w:p w14:paraId="77683AD6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② 定位根因</w:t>
            </w:r>
          </w:p>
        </w:tc>
        <w:tc>
          <w:tcPr>
            <w:tcW w:w="3000" w:type="dxa"/>
          </w:tcPr>
          <w:p w14:paraId="3B0A8872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4400" w:type="dxa"/>
          </w:tcPr>
          <w:p w14:paraId="7034FB68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库中日期被存成 2026/9/25 斜杠格式；SQLite date() 只认 ISO(yyyy-MM-dd)，对斜杠串返回 NULL</w:t>
            </w:r>
          </w:p>
        </w:tc>
      </w:tr>
      <w:tr w14:paraId="067E938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</w:tcPr>
          <w:p w14:paraId="4238DB4B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③ 治标</w:t>
            </w:r>
          </w:p>
        </w:tc>
        <w:tc>
          <w:tcPr>
            <w:tcW w:w="3000" w:type="dxa"/>
          </w:tcPr>
          <w:p w14:paraId="19CAE761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4400" w:type="dxa"/>
          </w:tcPr>
          <w:p w14:paraId="57EC1896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查询侧临时用 REPLACE(date,/,-) 兼容斜杠（易遗漏，不作最终方案）</w:t>
            </w:r>
          </w:p>
        </w:tc>
      </w:tr>
      <w:tr w14:paraId="736C56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</w:tcPr>
          <w:p w14:paraId="44454669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④ 治本</w:t>
            </w:r>
          </w:p>
        </w:tc>
        <w:tc>
          <w:tcPr>
            <w:tcW w:w="3000" w:type="dxa"/>
          </w:tcPr>
          <w:p w14:paraId="57346A4A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4400" w:type="dxa"/>
          </w:tcPr>
          <w:p w14:paraId="5F392823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入库时把日期解析后统一 ToString("yyyy-MM-dd") 再写库，从源头消除格式分歧</w:t>
            </w:r>
          </w:p>
        </w:tc>
      </w:tr>
      <w:tr w14:paraId="536B146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</w:tcPr>
          <w:p w14:paraId="447EC341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⑤ 边界1</w:t>
            </w:r>
          </w:p>
        </w:tc>
        <w:tc>
          <w:tcPr>
            <w:tcW w:w="3000" w:type="dxa"/>
          </w:tcPr>
          <w:p w14:paraId="65FE627D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读到 2026/9/25 0:00:00 带时间尾巴</w:t>
            </w:r>
          </w:p>
        </w:tc>
        <w:tc>
          <w:tcPr>
            <w:tcW w:w="4400" w:type="dxa"/>
          </w:tcPr>
          <w:p w14:paraId="6F9FABE2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TryParse 解析为 DateTime 后 ToString 自然丢弃时间部分</w:t>
            </w:r>
          </w:p>
        </w:tc>
      </w:tr>
      <w:tr w14:paraId="525C5F6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</w:tcPr>
          <w:p w14:paraId="29FC7E5E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⑥ 边界2</w:t>
            </w:r>
          </w:p>
        </w:tc>
        <w:tc>
          <w:tcPr>
            <w:tcW w:w="3000" w:type="dxa"/>
          </w:tcPr>
          <w:p w14:paraId="41F21E5D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读到 2026/9/10/星期四 0:00:00（含中文星期）</w:t>
            </w:r>
          </w:p>
        </w:tc>
        <w:tc>
          <w:tcPr>
            <w:tcW w:w="4400" w:type="dxa"/>
          </w:tcPr>
          <w:p w14:paraId="23B8CD1A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MiniExcel 按单元格自定义格式 ToString 所致；最终把模型列改为 DateTime? 让库直接返回日期对象，绕开一切格式坑</w:t>
            </w:r>
          </w:p>
        </w:tc>
      </w:tr>
    </w:tbl>
    <w:p w14:paraId="52AE2E48">
      <w:pPr>
        <w:pStyle w:val="17"/>
      </w:pPr>
    </w:p>
    <w:p w14:paraId="7DE58C05">
      <w:pPr>
        <w:pStyle w:val="17"/>
      </w:pPr>
      <w:r>
        <w:t>知识归纳：Excel 单元格里的"日期"本质是一种显示格式而非存储值，跨系统（Excel→数据库→查询函数）时，必须在入库边界把它规约为统一且机器中立的 ISO 字符串；更优先的是让读取库直接交付日期对象（DateTime?），把格式解释的责任交还给库，避免字符串二次解析的种种歧义。</w:t>
      </w:r>
    </w:p>
    <w:p w14:paraId="7ECF026D">
      <w:pPr>
        <w:pStyle w:val="19"/>
      </w:pPr>
      <w:r>
        <w:t>第三部分  代码评审结论</w:t>
      </w:r>
    </w:p>
    <w:p w14:paraId="406BFD93">
      <w:pPr>
        <w:pStyle w:val="21"/>
      </w:pPr>
      <w:r>
        <w:t>3.1  总体评价</w:t>
      </w:r>
    </w:p>
    <w:p w14:paraId="56964B65">
      <w:pPr>
        <w:pStyle w:val="17"/>
      </w:pPr>
      <w:r>
        <w:t>整体分层清晰、命名规范、注释充分，DbHelper 的参数化与可空处理、导入的双模式与依赖顺序、模板的强类型映射均体现了良好的工程意识，日期问题的根治思路正确。主要风险集中在"事务与连接管理"这一底层机制，以及若干逻辑闭环尚未完成。下列清单按严重级别归类，级别：P0 严重（数据正确性/完整性），P1 中（健壮性/可用性），P2 规范（可维护性）。</w:t>
      </w:r>
    </w:p>
    <w:p w14:paraId="35964099">
      <w:pPr>
        <w:pStyle w:val="21"/>
      </w:pPr>
      <w:r>
        <w:t>3.2  缺陷清单</w:t>
      </w:r>
    </w:p>
    <w:p w14:paraId="44A390BE">
      <w:pPr>
        <w:pStyle w:val="23"/>
      </w:pPr>
      <w:r>
        <w:t>（一）严重（P0）</w:t>
      </w:r>
    </w:p>
    <w:tbl>
      <w:tblPr>
        <w:tblStyle w:val="9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5"/>
        <w:gridCol w:w="3010"/>
        <w:gridCol w:w="1972"/>
        <w:gridCol w:w="3011"/>
      </w:tblGrid>
      <w:tr w14:paraId="7E1405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0" w:type="dxa"/>
            <w:shd w:val="clear" w:color="auto" w:fill="4472C4"/>
          </w:tcPr>
          <w:p w14:paraId="62542AEB">
            <w:pPr>
              <w:spacing w:before="20" w:after="20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编号</w:t>
            </w:r>
          </w:p>
        </w:tc>
        <w:tc>
          <w:tcPr>
            <w:tcW w:w="2400" w:type="dxa"/>
            <w:shd w:val="clear" w:color="auto" w:fill="4472C4"/>
          </w:tcPr>
          <w:p w14:paraId="3263FF65">
            <w:pPr>
              <w:spacing w:before="20" w:after="20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w="3600" w:type="dxa"/>
            <w:shd w:val="clear" w:color="auto" w:fill="4472C4"/>
          </w:tcPr>
          <w:p w14:paraId="6F5C8F18">
            <w:pPr>
              <w:spacing w:before="20" w:after="20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问题描述</w:t>
            </w:r>
          </w:p>
        </w:tc>
        <w:tc>
          <w:tcPr>
            <w:tcW w:w="2400" w:type="dxa"/>
            <w:shd w:val="clear" w:color="auto" w:fill="4472C4"/>
          </w:tcPr>
          <w:p w14:paraId="7A2C8FEB">
            <w:pPr>
              <w:spacing w:before="20" w:after="20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修复建议</w:t>
            </w:r>
          </w:p>
        </w:tc>
      </w:tr>
      <w:tr w14:paraId="1BC3EB1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0" w:type="dxa"/>
          </w:tcPr>
          <w:p w14:paraId="07B936B4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P0-1</w:t>
            </w:r>
          </w:p>
        </w:tc>
        <w:tc>
          <w:tcPr>
            <w:tcW w:w="2400" w:type="dxa"/>
          </w:tcPr>
          <w:p w14:paraId="7DF33D41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DbHelper / ImportService.ImportAll</w:t>
            </w:r>
          </w:p>
        </w:tc>
        <w:tc>
          <w:tcPr>
            <w:tcW w:w="3600" w:type="dxa"/>
          </w:tcPr>
          <w:p w14:paraId="07D657D3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事务实际不生效：每个 ExecuteNonQuery/Scalar 各自 new SqliteConnection 并 Open，Microsoft.Data.Sqlite 默认不会把连接登记进 TransactionScope 的隐式事务，导致每条写库各自提交、异常无法回滚，scope.Complete() 是"假原子性"</w:t>
            </w:r>
          </w:p>
        </w:tc>
        <w:tc>
          <w:tcPr>
            <w:tcW w:w="2400" w:type="dxa"/>
          </w:tcPr>
          <w:p w14:paraId="54884F9D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导入全程复用一个打开的连接 + 一个 SqliteTransaction，并把该连接/事务传入每条命令；或让连接串启用 Enlist 并验证登记生效</w:t>
            </w:r>
          </w:p>
        </w:tc>
      </w:tr>
      <w:tr w14:paraId="2A38E8F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0" w:type="dxa"/>
          </w:tcPr>
          <w:p w14:paraId="291B44C1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P0-2</w:t>
            </w:r>
          </w:p>
        </w:tc>
        <w:tc>
          <w:tcPr>
            <w:tcW w:w="2400" w:type="dxa"/>
          </w:tcPr>
          <w:p w14:paraId="59CEC9A3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ImportService.ImportClasses</w:t>
            </w:r>
          </w:p>
        </w:tc>
        <w:tc>
          <w:tcPr>
            <w:tcW w:w="3600" w:type="dxa"/>
          </w:tcPr>
          <w:p w14:paraId="08A5783C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INSERT 与 SELECT last_insert_rowid() 分别在两条新连接上执行；last_insert_rowid() 是连接级会话函数，新连接返回 0，classIdMap 的 value 全错（当前因下游仅判断 key 是否存在而"碰巧"未崩）</w:t>
            </w:r>
          </w:p>
        </w:tc>
        <w:tc>
          <w:tcPr>
            <w:tcW w:w="2400" w:type="dxa"/>
          </w:tcPr>
          <w:p w14:paraId="515A1959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与 P0-1 同连接执行：在插入后的同一连接上取回 last_insert_rowid()</w:t>
            </w:r>
          </w:p>
        </w:tc>
      </w:tr>
      <w:tr w14:paraId="42F4573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0" w:type="dxa"/>
          </w:tcPr>
          <w:p w14:paraId="585E61B1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P0-3</w:t>
            </w:r>
          </w:p>
        </w:tc>
        <w:tc>
          <w:tcPr>
            <w:tcW w:w="2400" w:type="dxa"/>
          </w:tcPr>
          <w:p w14:paraId="47B9D429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ImportService.NormalizeTeachingDate</w:t>
            </w:r>
          </w:p>
        </w:tc>
        <w:tc>
          <w:tcPr>
            <w:tcW w:w="3600" w:type="dxa"/>
          </w:tcPr>
          <w:p w14:paraId="5375904D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正则仅有 (\d{4}) 一个捕获组，却读取 m.Groups[2]/[3]，一旦进入该分支即 int.Parse("") 抛 FormatException</w:t>
            </w:r>
          </w:p>
        </w:tc>
        <w:tc>
          <w:tcPr>
            <w:tcW w:w="2400" w:type="dxa"/>
          </w:tcPr>
          <w:p w14:paraId="0BE8BB28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改为 (\d{4})[/\-](\d{1,2})[/\-](\d{1,2}) 三组；模型为 DateTime? 时该分支虽不触发，仍应修正以免回退成 string 时踩雷</w:t>
            </w:r>
          </w:p>
        </w:tc>
      </w:tr>
      <w:tr w14:paraId="2C892F0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0" w:type="dxa"/>
          </w:tcPr>
          <w:p w14:paraId="14D9D750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P0-4</w:t>
            </w:r>
          </w:p>
        </w:tc>
        <w:tc>
          <w:tcPr>
            <w:tcW w:w="2400" w:type="dxa"/>
          </w:tcPr>
          <w:p w14:paraId="093A1C3F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ImportService.ImportAll</w:t>
            </w:r>
          </w:p>
        </w:tc>
        <w:tc>
          <w:tcPr>
            <w:tcW w:w="3600" w:type="dxa"/>
          </w:tcPr>
          <w:p w14:paraId="3754699F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"跳过"被记为错误：不覆盖模式下"已存在跳过"走 AddError，ErrorLogs 非空 → 判定 !IsSuccess → 事务不 Complete → 已插入的合法新数据被整体回滚，用户看到的是"含错误"却只是重复跳过</w:t>
            </w:r>
          </w:p>
        </w:tc>
        <w:tc>
          <w:tcPr>
            <w:tcW w:w="2400" w:type="dxa"/>
          </w:tcPr>
          <w:p w14:paraId="09A2FE43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把 成功/跳过/错误 三态分离：跳过不应计入 ErrorLogs，不应据此否决提交</w:t>
            </w:r>
          </w:p>
        </w:tc>
      </w:tr>
      <w:tr w14:paraId="49D9349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0" w:type="dxa"/>
          </w:tcPr>
          <w:p w14:paraId="4E09E2CC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P0-5</w:t>
            </w:r>
          </w:p>
        </w:tc>
        <w:tc>
          <w:tcPr>
            <w:tcW w:w="2400" w:type="dxa"/>
          </w:tcPr>
          <w:p w14:paraId="27A8F940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DbHelper 连接 / 建表</w:t>
            </w:r>
          </w:p>
        </w:tc>
        <w:tc>
          <w:tcPr>
            <w:tcW w:w="3600" w:type="dxa"/>
          </w:tcPr>
          <w:p w14:paraId="0915DA9C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外键约束形同虚设：SQLite 需 PRAGMA foreign_keys=ON，默认关闭，建表声明的 FOREIGN KEY 不被执行，孤儿数据无保护</w:t>
            </w:r>
          </w:p>
        </w:tc>
        <w:tc>
          <w:tcPr>
            <w:tcW w:w="2400" w:type="dxa"/>
          </w:tcPr>
          <w:p w14:paraId="6D70DC1F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连接串加 ";Foreign Keys=True"（Microsoft.Data.Sqlite 支持）或在每次连接后执行 PRAGMA</w:t>
            </w:r>
          </w:p>
        </w:tc>
      </w:tr>
    </w:tbl>
    <w:p w14:paraId="2EEA8FB4">
      <w:pPr>
        <w:pStyle w:val="17"/>
      </w:pPr>
    </w:p>
    <w:p w14:paraId="5C4D53E9">
      <w:pPr>
        <w:pStyle w:val="23"/>
      </w:pPr>
      <w:r>
        <w:t>（二）中等（P1）</w:t>
      </w:r>
    </w:p>
    <w:tbl>
      <w:tblPr>
        <w:tblStyle w:val="9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2"/>
        <w:gridCol w:w="2846"/>
        <w:gridCol w:w="1193"/>
        <w:gridCol w:w="3897"/>
      </w:tblGrid>
      <w:tr w14:paraId="6C33F74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0" w:type="dxa"/>
            <w:shd w:val="clear" w:color="auto" w:fill="4472C4"/>
          </w:tcPr>
          <w:p w14:paraId="7001E56D">
            <w:pPr>
              <w:spacing w:before="20" w:after="20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编号</w:t>
            </w:r>
          </w:p>
        </w:tc>
        <w:tc>
          <w:tcPr>
            <w:tcW w:w="2400" w:type="dxa"/>
            <w:shd w:val="clear" w:color="auto" w:fill="4472C4"/>
          </w:tcPr>
          <w:p w14:paraId="0602B82C">
            <w:pPr>
              <w:spacing w:before="20" w:after="20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w="3600" w:type="dxa"/>
            <w:shd w:val="clear" w:color="auto" w:fill="4472C4"/>
          </w:tcPr>
          <w:p w14:paraId="54903B21">
            <w:pPr>
              <w:spacing w:before="20" w:after="20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问题描述</w:t>
            </w:r>
          </w:p>
        </w:tc>
        <w:tc>
          <w:tcPr>
            <w:tcW w:w="2400" w:type="dxa"/>
            <w:shd w:val="clear" w:color="auto" w:fill="4472C4"/>
          </w:tcPr>
          <w:p w14:paraId="2DE40882">
            <w:pPr>
              <w:spacing w:before="20" w:after="20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修复建议</w:t>
            </w:r>
          </w:p>
        </w:tc>
      </w:tr>
      <w:tr w14:paraId="072A76F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0" w:type="dxa"/>
          </w:tcPr>
          <w:p w14:paraId="526D4F3E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P1-6</w:t>
            </w:r>
          </w:p>
        </w:tc>
        <w:tc>
          <w:tcPr>
            <w:tcW w:w="2400" w:type="dxa"/>
          </w:tcPr>
          <w:p w14:paraId="6318A5A3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TeachingLogs / 覆盖导入</w:t>
            </w:r>
          </w:p>
        </w:tc>
        <w:tc>
          <w:tcPr>
            <w:tcW w:w="3600" w:type="dxa"/>
          </w:tcPr>
          <w:p w14:paraId="1D4AFC83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历史脏数据 + 覆盖模式产生重复：旧库存斜杠日期，覆盖时用 ISO 去 WHERE 匹配匹配不上，反而插入重复行</w:t>
            </w:r>
          </w:p>
        </w:tc>
        <w:tc>
          <w:tcPr>
            <w:tcW w:w="2400" w:type="dxa"/>
          </w:tcPr>
          <w:p w14:paraId="318A19F6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对历史数据一次性清洗为 ISO；并对业务键 (ClassName,CourseName,TeachingDate,TeachingHours) 建唯一索引兜底</w:t>
            </w:r>
          </w:p>
        </w:tc>
      </w:tr>
      <w:tr w14:paraId="51CF1B0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0" w:type="dxa"/>
          </w:tcPr>
          <w:p w14:paraId="2FA1FD8F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P1-7</w:t>
            </w:r>
          </w:p>
        </w:tc>
        <w:tc>
          <w:tcPr>
            <w:tcW w:w="2400" w:type="dxa"/>
          </w:tcPr>
          <w:p w14:paraId="219B8633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Form1 / ScoreDetails</w:t>
            </w:r>
          </w:p>
        </w:tc>
        <w:tc>
          <w:tcPr>
            <w:tcW w:w="3600" w:type="dxa"/>
          </w:tcPr>
          <w:p w14:paraId="7C8FC819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记分未闭环：Form1 仅把学生列表显示（Rule1/2/3 置 null），缺少把分数写回 ScoreDetails 的保存流程，"开始使用"后无落库路径</w:t>
            </w:r>
          </w:p>
        </w:tc>
        <w:tc>
          <w:tcPr>
            <w:tcW w:w="2400" w:type="dxa"/>
          </w:tcPr>
          <w:p w14:paraId="67E96B1D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补"保存成绩"逻辑：按当前 LogID 将明细批量 upsert 到 ScoreDetails</w:t>
            </w:r>
          </w:p>
        </w:tc>
      </w:tr>
      <w:tr w14:paraId="3AF402C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0" w:type="dxa"/>
          </w:tcPr>
          <w:p w14:paraId="130C81D1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P1-8</w:t>
            </w:r>
          </w:p>
        </w:tc>
        <w:tc>
          <w:tcPr>
            <w:tcW w:w="2400" w:type="dxa"/>
          </w:tcPr>
          <w:p w14:paraId="1F357B53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Form1.dgvScoreDetail_CellValidating</w:t>
            </w:r>
          </w:p>
        </w:tc>
        <w:tc>
          <w:tcPr>
            <w:tcW w:w="3600" w:type="dxa"/>
          </w:tcPr>
          <w:p w14:paraId="4145F806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按列错位：对所有可编辑列(列索引&gt;2)一律按 0-100 整数校验，会把文本型考勤列 Rule1 也按数字校验，产生冲突</w:t>
            </w:r>
          </w:p>
        </w:tc>
        <w:tc>
          <w:tcPr>
            <w:tcW w:w="2400" w:type="dxa"/>
          </w:tcPr>
          <w:p w14:paraId="3400971A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按列类型分别校验：文本列校验取值集合，数字列校验区间</w:t>
            </w:r>
          </w:p>
        </w:tc>
      </w:tr>
      <w:tr w14:paraId="2FC5FD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0" w:type="dxa"/>
          </w:tcPr>
          <w:p w14:paraId="200507CB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P1-9</w:t>
            </w:r>
          </w:p>
        </w:tc>
        <w:tc>
          <w:tcPr>
            <w:tcW w:w="2400" w:type="dxa"/>
          </w:tcPr>
          <w:p w14:paraId="124B0BA0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Import/Export/查询</w:t>
            </w:r>
          </w:p>
        </w:tc>
        <w:tc>
          <w:tcPr>
            <w:tcW w:w="3600" w:type="dxa"/>
          </w:tcPr>
          <w:p w14:paraId="4784EB6F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UI 线程阻塞：导入、导出、查询同步跑在界面线程，数据量大时卡界面、可被重复点击</w:t>
            </w:r>
          </w:p>
        </w:tc>
        <w:tc>
          <w:tcPr>
            <w:tcW w:w="2400" w:type="dxa"/>
          </w:tcPr>
          <w:p w14:paraId="6A90004E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async/await + Task.Run 后台执行，执行期间禁用按钮</w:t>
            </w:r>
          </w:p>
        </w:tc>
      </w:tr>
      <w:tr w14:paraId="6FB5C0F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0" w:type="dxa"/>
          </w:tcPr>
          <w:p w14:paraId="48E7FBC5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P1-10</w:t>
            </w:r>
          </w:p>
        </w:tc>
        <w:tc>
          <w:tcPr>
            <w:tcW w:w="2400" w:type="dxa"/>
          </w:tcPr>
          <w:p w14:paraId="56AFAB57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MainForm / Form1 构造</w:t>
            </w:r>
          </w:p>
        </w:tc>
        <w:tc>
          <w:tcPr>
            <w:tcW w:w="3600" w:type="dxa"/>
          </w:tcPr>
          <w:p w14:paraId="7B9FABB2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数据库路径硬编码相对路径 "scores.db"，且 Form1、MainForm 各自 new DbHelper；工作目录变化即找不到库、实例重复</w:t>
            </w:r>
          </w:p>
        </w:tc>
        <w:tc>
          <w:tcPr>
            <w:tcW w:w="2400" w:type="dxa"/>
          </w:tcPr>
          <w:p w14:paraId="76D4B231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统一到一个组合根集中构造 DbHelper，路径用 AppContext.BaseDirectory 拼绝对路径</w:t>
            </w:r>
          </w:p>
        </w:tc>
      </w:tr>
    </w:tbl>
    <w:p w14:paraId="2639D737">
      <w:pPr>
        <w:pStyle w:val="17"/>
      </w:pPr>
    </w:p>
    <w:p w14:paraId="1C626880">
      <w:pPr>
        <w:pStyle w:val="23"/>
      </w:pPr>
      <w:r>
        <w:t>（三）规范与可维护性（P2）</w:t>
      </w:r>
    </w:p>
    <w:tbl>
      <w:tblPr>
        <w:tblStyle w:val="9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9"/>
        <w:gridCol w:w="2228"/>
        <w:gridCol w:w="3387"/>
        <w:gridCol w:w="2154"/>
      </w:tblGrid>
      <w:tr w14:paraId="000D003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0" w:type="dxa"/>
            <w:shd w:val="clear" w:color="auto" w:fill="4472C4"/>
          </w:tcPr>
          <w:p w14:paraId="764C04C1">
            <w:pPr>
              <w:spacing w:before="20" w:after="20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编号</w:t>
            </w:r>
          </w:p>
        </w:tc>
        <w:tc>
          <w:tcPr>
            <w:tcW w:w="2400" w:type="dxa"/>
            <w:shd w:val="clear" w:color="auto" w:fill="4472C4"/>
          </w:tcPr>
          <w:p w14:paraId="333DF9B1">
            <w:pPr>
              <w:spacing w:before="20" w:after="20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w="3600" w:type="dxa"/>
            <w:shd w:val="clear" w:color="auto" w:fill="4472C4"/>
          </w:tcPr>
          <w:p w14:paraId="043F2B93">
            <w:pPr>
              <w:spacing w:before="20" w:after="20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问题描述</w:t>
            </w:r>
          </w:p>
        </w:tc>
        <w:tc>
          <w:tcPr>
            <w:tcW w:w="2400" w:type="dxa"/>
            <w:shd w:val="clear" w:color="auto" w:fill="4472C4"/>
          </w:tcPr>
          <w:p w14:paraId="3B6696C8">
            <w:pPr>
              <w:spacing w:before="20" w:after="20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修复建议</w:t>
            </w:r>
          </w:p>
        </w:tc>
      </w:tr>
      <w:tr w14:paraId="5AFEAD3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0" w:type="dxa"/>
          </w:tcPr>
          <w:p w14:paraId="17E27CAD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P2-11</w:t>
            </w:r>
          </w:p>
        </w:tc>
        <w:tc>
          <w:tcPr>
            <w:tcW w:w="2400" w:type="dxa"/>
          </w:tcPr>
          <w:p w14:paraId="7C309290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TemplateModels.cs / ImportService_1.cs</w:t>
            </w:r>
          </w:p>
        </w:tc>
        <w:tc>
          <w:tcPr>
            <w:tcW w:w="3600" w:type="dxa"/>
          </w:tcPr>
          <w:p w14:paraId="6D9EB99A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 xml:space="preserve">命名空间不统一（TemplateModels 用 </w:t>
            </w:r>
            <w:bookmarkStart w:id="0" w:name="OLE_LINK1"/>
            <w:r>
              <w:rPr>
                <w:rFonts w:ascii="宋体" w:hAnsi="宋体" w:eastAsia="宋体"/>
                <w:b w:val="0"/>
                <w:sz w:val="18"/>
              </w:rPr>
              <w:t>StudentScoreSystem</w:t>
            </w:r>
            <w:bookmarkEnd w:id="0"/>
            <w:r>
              <w:rPr>
                <w:rFonts w:ascii="宋体" w:hAnsi="宋体" w:eastAsia="宋体"/>
                <w:b w:val="0"/>
                <w:sz w:val="18"/>
              </w:rPr>
              <w:t>.Models，其余用 StudentScoreManager.Models）；且 TemplateModels、ImportService_1 为未被引用的冗余旧版本</w:t>
            </w:r>
          </w:p>
        </w:tc>
        <w:tc>
          <w:tcPr>
            <w:tcW w:w="2400" w:type="dxa"/>
          </w:tcPr>
          <w:p w14:paraId="5A54E08D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统一命名空间；删除未被引用的冗余版本</w:t>
            </w:r>
          </w:p>
        </w:tc>
      </w:tr>
      <w:tr w14:paraId="4D8287B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0" w:type="dxa"/>
          </w:tcPr>
          <w:p w14:paraId="42D1305A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P2-12</w:t>
            </w:r>
          </w:p>
        </w:tc>
        <w:tc>
          <w:tcPr>
            <w:tcW w:w="2400" w:type="dxa"/>
          </w:tcPr>
          <w:p w14:paraId="2D1E5B3D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Form1 / ImportScoringRules / MainForm / Program</w:t>
            </w:r>
          </w:p>
        </w:tc>
        <w:tc>
          <w:tcPr>
            <w:tcW w:w="3600" w:type="dxa"/>
          </w:tcPr>
          <w:p w14:paraId="4CF89D7C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大量被注释掉的死代码（列定义、调试输出、SaveAs 等）影响可读性</w:t>
            </w:r>
          </w:p>
        </w:tc>
        <w:tc>
          <w:tcPr>
            <w:tcW w:w="2400" w:type="dxa"/>
          </w:tcPr>
          <w:p w14:paraId="331BF596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清理死代码，必要时交由版本控制保留历史</w:t>
            </w:r>
          </w:p>
        </w:tc>
      </w:tr>
      <w:tr w14:paraId="2B88825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0" w:type="dxa"/>
          </w:tcPr>
          <w:p w14:paraId="5CA29833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P2-13</w:t>
            </w:r>
          </w:p>
        </w:tc>
        <w:tc>
          <w:tcPr>
            <w:tcW w:w="2400" w:type="dxa"/>
          </w:tcPr>
          <w:p w14:paraId="5A8A02B5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Form1 常量 / 各 Service SQL</w:t>
            </w:r>
          </w:p>
        </w:tc>
        <w:tc>
          <w:tcPr>
            <w:tcW w:w="3600" w:type="dxa"/>
          </w:tcPr>
          <w:p w14:paraId="27BF1D93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表列名两套定义：Form1 用常量、Service 层 SQL 用裸字符串，重复且易漂移</w:t>
            </w:r>
          </w:p>
        </w:tc>
        <w:tc>
          <w:tcPr>
            <w:tcW w:w="2400" w:type="dxa"/>
          </w:tcPr>
          <w:p w14:paraId="07BBFBA1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抽取统一的 Schema 列名常量类，全项目引用同一处</w:t>
            </w:r>
          </w:p>
        </w:tc>
      </w:tr>
      <w:tr w14:paraId="612794A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0" w:type="dxa"/>
          </w:tcPr>
          <w:p w14:paraId="7A553CBA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P2-14</w:t>
            </w:r>
          </w:p>
        </w:tc>
        <w:tc>
          <w:tcPr>
            <w:tcW w:w="2400" w:type="dxa"/>
          </w:tcPr>
          <w:p w14:paraId="4F16361D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Form1 事件解绑</w:t>
            </w:r>
          </w:p>
        </w:tc>
        <w:tc>
          <w:tcPr>
            <w:tcW w:w="3600" w:type="dxa"/>
          </w:tcPr>
          <w:p w14:paraId="1DE07C62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靠手动 += / -= 事件抑制级联刷新，易漏绑</w:t>
            </w:r>
          </w:p>
        </w:tc>
        <w:tc>
          <w:tcPr>
            <w:tcW w:w="2400" w:type="dxa"/>
          </w:tcPr>
          <w:p w14:paraId="7F5F9CB5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用 _suppressEvents 布尔标志位替代</w:t>
            </w:r>
          </w:p>
        </w:tc>
      </w:tr>
      <w:tr w14:paraId="468982B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0" w:type="dxa"/>
          </w:tcPr>
          <w:p w14:paraId="40B8198F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P2-15</w:t>
            </w:r>
          </w:p>
        </w:tc>
        <w:tc>
          <w:tcPr>
            <w:tcW w:w="2400" w:type="dxa"/>
          </w:tcPr>
          <w:p w14:paraId="48FD94F0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MainForm_Load</w:t>
            </w:r>
          </w:p>
        </w:tc>
        <w:tc>
          <w:tcPr>
            <w:tcW w:w="3600" w:type="dxa"/>
          </w:tcPr>
          <w:p w14:paraId="767F9145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每次启动弹"初始化完成"MessageBox，属噪声</w:t>
            </w:r>
          </w:p>
        </w:tc>
        <w:tc>
          <w:tcPr>
            <w:tcW w:w="2400" w:type="dxa"/>
          </w:tcPr>
          <w:p w14:paraId="058BCD3F"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移除，或改为状态栏提示</w:t>
            </w:r>
          </w:p>
        </w:tc>
      </w:tr>
    </w:tbl>
    <w:p w14:paraId="1C1487D2">
      <w:pPr>
        <w:pStyle w:val="17"/>
      </w:pPr>
    </w:p>
    <w:p w14:paraId="66F8733B">
      <w:pPr>
        <w:pStyle w:val="21"/>
      </w:pPr>
      <w:r>
        <w:t>3.3  值得保留的设计亮点</w:t>
      </w:r>
    </w:p>
    <w:p w14:paraId="0875157D">
      <w:pPr>
        <w:pStyle w:val="17"/>
      </w:pPr>
      <w:r>
        <w:t>一是数据访问集中化：DbHelper 统一连接与参数化，规避 SQL 注入；二是导入按外键依赖顺序级联</w:t>
      </w:r>
      <w:bookmarkStart w:id="1" w:name="_GoBack"/>
      <w:bookmarkEnd w:id="1"/>
      <w:r>
        <w:t>、覆盖/跳过双模式，取舍合理；三是 MiniExcel 强类型 + 列映射，模板、模型、数据库三者字段对应清晰；四是日期问题的排障路径，体现了"沿调用链回溯到数据源头根治"的正确方法，值得作为团队排障范例沉淀。</w:t>
      </w:r>
    </w:p>
    <w:p w14:paraId="5C022356">
      <w:pPr>
        <w:pStyle w:val="19"/>
      </w:pPr>
      <w:r>
        <w:t>第四部分  重构与改进建议（优先级路线图）</w:t>
      </w:r>
    </w:p>
    <w:p w14:paraId="5B621CD6">
      <w:pPr>
        <w:pStyle w:val="21"/>
      </w:pPr>
      <w:r>
        <w:t>4.1  立即处理（P0）</w:t>
      </w:r>
    </w:p>
    <w:p w14:paraId="6CBF9AD0">
      <w:pPr>
        <w:pStyle w:val="17"/>
      </w:pPr>
      <w:r>
        <w:t>优先改造数据访问底座：让一次导入复用单一连接与事务（一并解决 P0-1、P0-2），分离"跳过"与"错误"语义（P0-4），开启外键约束（P0-5），修正日期正则（P0-3）。其中底座改造是其余多数问题的前提。</w:t>
      </w:r>
    </w:p>
    <w:p w14:paraId="065BBD87">
      <w:pPr>
        <w:pStyle w:val="21"/>
      </w:pPr>
      <w:r>
        <w:t>4.2  短期改进（P1）</w:t>
      </w:r>
    </w:p>
    <w:p w14:paraId="7838C040">
      <w:pPr>
        <w:pStyle w:val="17"/>
      </w:pPr>
      <w:r>
        <w:t>补齐记分保存闭环（P1-7）使功能完整；对历史脏数据做一次清洗并为教学日志建业务键唯一索引（P1-6）；将课程/学生查询从 Form1 下沉到服务层；校验逻辑按列分型（P1-8）；导入导出异步化（P1-9）；数据库路径集中且用绝对路径（P1-10）。</w:t>
      </w:r>
    </w:p>
    <w:p w14:paraId="708A8AF6">
      <w:pPr>
        <w:pStyle w:val="21"/>
      </w:pPr>
      <w:r>
        <w:t>4.3  中期规范（P2）</w:t>
      </w:r>
    </w:p>
    <w:p w14:paraId="3923A5C8">
      <w:pPr>
        <w:pStyle w:val="17"/>
      </w:pPr>
      <w:r>
        <w:t>统一命名空间、删除冗余旧版本（P2-11）；清理死代码（P2-12）；抽取 Schema 常量类（P2-13）；以标志位替代事件解绑（P2-14）；移除启动弹窗（P2-15）。同时建议对 NormalizeTeachingDate 这类纯函数补充单元测试，沉淀回归防线。</w:t>
      </w:r>
    </w:p>
    <w:p w14:paraId="670CEC7D">
      <w:pPr>
        <w:pStyle w:val="17"/>
      </w:pPr>
    </w:p>
    <w:p w14:paraId="3A47D21D">
      <w:pPr>
        <w:pStyle w:val="17"/>
      </w:pPr>
      <w:r>
        <w:t>综上，系统在架构与可读性上已具备良好基础，本轮日期格式问题的根治也已完成；建议按上述路线图先稳固事务与连接底座、再补齐记分保存闭环，即可显著提升数据可靠性与功能完整性。</w:t>
      </w:r>
    </w:p>
    <w:sectPr>
      <w:footerReference r:id="rId3" w:type="default"/>
      <w:footerReference r:id="rId4" w:type="even"/>
      <w:pgSz w:w="11906" w:h="16838"/>
      <w:pgMar w:top="1440" w:right="1797" w:bottom="1440" w:left="1797" w:header="851" w:footer="851" w:gutter="0"/>
      <w:pgNumType w:fmt="numberInDash"/>
      <w:cols w:space="0" w:num="1"/>
      <w:docGrid w:type="linesAndChars" w:linePitch="579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67540114"/>
      <w:docPartObj>
        <w:docPartGallery w:val="AutoText"/>
      </w:docPartObj>
    </w:sdtPr>
    <w:sdtEndPr>
      <w:rPr>
        <w:rFonts w:asciiTheme="minorEastAsia" w:hAnsiTheme="minorEastAsia" w:eastAsiaTheme="minorEastAsia"/>
        <w:sz w:val="28"/>
        <w:szCs w:val="28"/>
      </w:rPr>
    </w:sdtEndPr>
    <w:sdtContent>
      <w:p w14:paraId="16E3235A">
        <w:pPr>
          <w:pStyle w:val="5"/>
          <w:jc w:val="center"/>
          <w:rPr>
            <w:rFonts w:asciiTheme="minorEastAsia" w:hAnsiTheme="minorEastAsia" w:eastAsiaTheme="minorEastAsia"/>
            <w:sz w:val="28"/>
            <w:szCs w:val="28"/>
          </w:rPr>
        </w:pPr>
        <w:r>
          <w:rPr>
            <w:rFonts w:asciiTheme="minorEastAsia" w:hAnsiTheme="minorEastAsia" w:eastAsiaTheme="minorEastAsia"/>
            <w:sz w:val="28"/>
            <w:szCs w:val="28"/>
          </w:rPr>
          <w:fldChar w:fldCharType="begin"/>
        </w:r>
        <w:r>
          <w:rPr>
            <w:rFonts w:asciiTheme="minorEastAsia" w:hAnsiTheme="minorEastAsia" w:eastAsiaTheme="minorEastAsia"/>
            <w:sz w:val="28"/>
            <w:szCs w:val="28"/>
          </w:rPr>
          <w:instrText xml:space="preserve">PAGE   \* MERGEFORMAT</w:instrText>
        </w:r>
        <w:r>
          <w:rPr>
            <w:rFonts w:asciiTheme="minorEastAsia" w:hAnsiTheme="minorEastAsia" w:eastAsiaTheme="minorEastAsia"/>
            <w:sz w:val="28"/>
            <w:szCs w:val="28"/>
          </w:rPr>
          <w:fldChar w:fldCharType="separate"/>
        </w:r>
        <w:r>
          <w:rPr>
            <w:rFonts w:asciiTheme="minorEastAsia" w:hAnsiTheme="minorEastAsia" w:eastAsiaTheme="minorEastAsia"/>
            <w:sz w:val="28"/>
            <w:szCs w:val="28"/>
            <w:lang w:val="zh-CN"/>
          </w:rPr>
          <w:t>2</w:t>
        </w:r>
        <w:r>
          <w:rPr>
            <w:rFonts w:asciiTheme="minorEastAsia" w:hAnsiTheme="minorEastAsia" w:eastAsiaTheme="minorEastAsia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970942603"/>
      <w:docPartObj>
        <w:docPartGallery w:val="AutoText"/>
      </w:docPartObj>
    </w:sdtPr>
    <w:sdtEndPr>
      <w:rPr>
        <w:rFonts w:asciiTheme="minorEastAsia" w:hAnsiTheme="minorEastAsia" w:eastAsiaTheme="minorEastAsia"/>
        <w:sz w:val="28"/>
        <w:szCs w:val="28"/>
      </w:rPr>
    </w:sdtEndPr>
    <w:sdtContent>
      <w:p w14:paraId="351F5986">
        <w:pPr>
          <w:pStyle w:val="5"/>
          <w:jc w:val="center"/>
          <w:rPr>
            <w:rFonts w:asciiTheme="minorEastAsia" w:hAnsiTheme="minorEastAsia" w:eastAsiaTheme="minorEastAsia"/>
            <w:sz w:val="28"/>
            <w:szCs w:val="28"/>
          </w:rPr>
        </w:pPr>
        <w:r>
          <w:rPr>
            <w:rFonts w:asciiTheme="minorEastAsia" w:hAnsiTheme="minorEastAsia" w:eastAsiaTheme="minorEastAsia"/>
            <w:sz w:val="28"/>
            <w:szCs w:val="28"/>
          </w:rPr>
          <w:fldChar w:fldCharType="begin"/>
        </w:r>
        <w:r>
          <w:rPr>
            <w:rFonts w:asciiTheme="minorEastAsia" w:hAnsiTheme="minorEastAsia" w:eastAsiaTheme="minorEastAsia"/>
            <w:sz w:val="28"/>
            <w:szCs w:val="28"/>
          </w:rPr>
          <w:instrText xml:space="preserve">PAGE   \* MERGEFORMAT</w:instrText>
        </w:r>
        <w:r>
          <w:rPr>
            <w:rFonts w:asciiTheme="minorEastAsia" w:hAnsiTheme="minorEastAsia" w:eastAsiaTheme="minorEastAsia"/>
            <w:sz w:val="28"/>
            <w:szCs w:val="28"/>
          </w:rPr>
          <w:fldChar w:fldCharType="separate"/>
        </w:r>
        <w:r>
          <w:rPr>
            <w:rFonts w:asciiTheme="minorEastAsia" w:hAnsiTheme="minorEastAsia" w:eastAsiaTheme="minorEastAsia"/>
            <w:sz w:val="28"/>
            <w:szCs w:val="28"/>
            <w:lang w:val="zh-CN"/>
          </w:rPr>
          <w:t>2</w:t>
        </w:r>
        <w:r>
          <w:rPr>
            <w:rFonts w:asciiTheme="minorEastAsia" w:hAnsiTheme="minorEastAsia" w:eastAsiaTheme="minorEastAsia"/>
            <w:sz w:val="28"/>
            <w:szCs w:val="28"/>
          </w:rPr>
          <w:fldChar w:fldCharType="end"/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420"/>
  <w:evenAndOddHeaders w:val="1"/>
  <w:drawingGridHorizontalSpacing w:val="158"/>
  <w:drawingGridVerticalSpacing w:val="579"/>
  <w:displayHorizont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RkOTU2ODlkNjFmYzc2OWJkMjljMDVlOWY4MmU3MmIifQ=="/>
  </w:docVars>
  <w:rsids>
    <w:rsidRoot w:val="1B775F20"/>
    <w:rsid w:val="0002766D"/>
    <w:rsid w:val="00060045"/>
    <w:rsid w:val="00061396"/>
    <w:rsid w:val="00064F23"/>
    <w:rsid w:val="000C32D4"/>
    <w:rsid w:val="000F01D9"/>
    <w:rsid w:val="00102960"/>
    <w:rsid w:val="001041C9"/>
    <w:rsid w:val="001516C1"/>
    <w:rsid w:val="00175C21"/>
    <w:rsid w:val="001A6392"/>
    <w:rsid w:val="001B209D"/>
    <w:rsid w:val="001C0ACD"/>
    <w:rsid w:val="001D0EBB"/>
    <w:rsid w:val="001D43B9"/>
    <w:rsid w:val="001D62AC"/>
    <w:rsid w:val="00210BA7"/>
    <w:rsid w:val="0021695C"/>
    <w:rsid w:val="00243723"/>
    <w:rsid w:val="002657DA"/>
    <w:rsid w:val="002B6057"/>
    <w:rsid w:val="002D2611"/>
    <w:rsid w:val="0033075C"/>
    <w:rsid w:val="00340777"/>
    <w:rsid w:val="00351F34"/>
    <w:rsid w:val="003527FB"/>
    <w:rsid w:val="00364FE7"/>
    <w:rsid w:val="003835CD"/>
    <w:rsid w:val="003852B3"/>
    <w:rsid w:val="003856E5"/>
    <w:rsid w:val="00390943"/>
    <w:rsid w:val="003B63BE"/>
    <w:rsid w:val="003D6ACE"/>
    <w:rsid w:val="00405224"/>
    <w:rsid w:val="004179D6"/>
    <w:rsid w:val="00422DB6"/>
    <w:rsid w:val="00442561"/>
    <w:rsid w:val="00465271"/>
    <w:rsid w:val="004824C5"/>
    <w:rsid w:val="00494E37"/>
    <w:rsid w:val="004C353E"/>
    <w:rsid w:val="004D5BB7"/>
    <w:rsid w:val="00522E6F"/>
    <w:rsid w:val="005352FF"/>
    <w:rsid w:val="005359DD"/>
    <w:rsid w:val="00540C38"/>
    <w:rsid w:val="00603C53"/>
    <w:rsid w:val="00654E45"/>
    <w:rsid w:val="00670CD0"/>
    <w:rsid w:val="006940C3"/>
    <w:rsid w:val="006D2E7D"/>
    <w:rsid w:val="00764FCD"/>
    <w:rsid w:val="00863CD4"/>
    <w:rsid w:val="008655E7"/>
    <w:rsid w:val="00866A12"/>
    <w:rsid w:val="00866C78"/>
    <w:rsid w:val="008670FE"/>
    <w:rsid w:val="00872A6B"/>
    <w:rsid w:val="00875604"/>
    <w:rsid w:val="00880DFB"/>
    <w:rsid w:val="008B4B4F"/>
    <w:rsid w:val="008E21E5"/>
    <w:rsid w:val="0091793F"/>
    <w:rsid w:val="00922756"/>
    <w:rsid w:val="00952DF5"/>
    <w:rsid w:val="009F30FE"/>
    <w:rsid w:val="00A05202"/>
    <w:rsid w:val="00A1594F"/>
    <w:rsid w:val="00A7203A"/>
    <w:rsid w:val="00A928FD"/>
    <w:rsid w:val="00AA1964"/>
    <w:rsid w:val="00AA3106"/>
    <w:rsid w:val="00AE3F46"/>
    <w:rsid w:val="00B07B6A"/>
    <w:rsid w:val="00B105EB"/>
    <w:rsid w:val="00B15E4F"/>
    <w:rsid w:val="00BC1214"/>
    <w:rsid w:val="00C363B5"/>
    <w:rsid w:val="00C44748"/>
    <w:rsid w:val="00C67797"/>
    <w:rsid w:val="00CD06AA"/>
    <w:rsid w:val="00CD2B94"/>
    <w:rsid w:val="00CF0227"/>
    <w:rsid w:val="00D115ED"/>
    <w:rsid w:val="00D36B00"/>
    <w:rsid w:val="00D36C62"/>
    <w:rsid w:val="00D622DF"/>
    <w:rsid w:val="00D663BA"/>
    <w:rsid w:val="00D66EAB"/>
    <w:rsid w:val="00D733AC"/>
    <w:rsid w:val="00D93F16"/>
    <w:rsid w:val="00DD418C"/>
    <w:rsid w:val="00E06011"/>
    <w:rsid w:val="00E7734F"/>
    <w:rsid w:val="00EC6527"/>
    <w:rsid w:val="00F1298D"/>
    <w:rsid w:val="00F432CD"/>
    <w:rsid w:val="00F605D6"/>
    <w:rsid w:val="00F722BC"/>
    <w:rsid w:val="00FF155F"/>
    <w:rsid w:val="047B003E"/>
    <w:rsid w:val="10486B3A"/>
    <w:rsid w:val="1B775F20"/>
    <w:rsid w:val="23CD7FCE"/>
    <w:rsid w:val="311566B0"/>
    <w:rsid w:val="34456605"/>
    <w:rsid w:val="374E46CA"/>
    <w:rsid w:val="47A41272"/>
    <w:rsid w:val="624C1682"/>
    <w:rsid w:val="75907424"/>
    <w:rsid w:val="773277E7"/>
    <w:rsid w:val="7F57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99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99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仿宋_GB2312" w:hAnsi="仿宋_GB2312" w:eastAsia="仿宋_GB2312" w:cstheme="minorBidi"/>
      <w:kern w:val="2"/>
      <w:sz w:val="32"/>
      <w:szCs w:val="22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9"/>
    <w:uiPriority w:val="99"/>
    <w:pPr>
      <w:jc w:val="left"/>
    </w:pPr>
  </w:style>
  <w:style w:type="paragraph" w:styleId="3">
    <w:name w:val="Salutation"/>
    <w:basedOn w:val="1"/>
    <w:next w:val="1"/>
    <w:link w:val="42"/>
    <w:uiPriority w:val="0"/>
    <w:rPr>
      <w:rFonts w:ascii="仿宋" w:hAnsi="仿宋" w:eastAsia="仿宋" w:cs="仿宋"/>
      <w:sz w:val="28"/>
      <w:szCs w:val="32"/>
    </w:rPr>
  </w:style>
  <w:style w:type="paragraph" w:styleId="4">
    <w:name w:val="Closing"/>
    <w:basedOn w:val="1"/>
    <w:link w:val="43"/>
    <w:uiPriority w:val="0"/>
    <w:pPr>
      <w:ind w:left="100" w:leftChars="2100"/>
    </w:pPr>
    <w:rPr>
      <w:rFonts w:ascii="仿宋" w:hAnsi="仿宋" w:eastAsia="仿宋" w:cs="仿宋"/>
      <w:sz w:val="28"/>
      <w:szCs w:val="32"/>
    </w:rPr>
  </w:style>
  <w:style w:type="paragraph" w:styleId="5">
    <w:name w:val="footer"/>
    <w:basedOn w:val="1"/>
    <w:link w:val="38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3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39"/>
    <w:autoRedefine/>
    <w:qFormat/>
    <w:uiPriority w:val="0"/>
    <w:pPr>
      <w:spacing w:before="240" w:after="60" w:line="312" w:lineRule="auto"/>
      <w:jc w:val="center"/>
      <w:outlineLvl w:val="1"/>
    </w:pPr>
    <w:rPr>
      <w:rFonts w:eastAsiaTheme="minorEastAsia"/>
      <w:b/>
      <w:bCs/>
      <w:kern w:val="28"/>
      <w:szCs w:val="32"/>
    </w:rPr>
  </w:style>
  <w:style w:type="paragraph" w:styleId="8">
    <w:name w:val="annotation subject"/>
    <w:basedOn w:val="2"/>
    <w:next w:val="2"/>
    <w:link w:val="30"/>
    <w:uiPriority w:val="0"/>
    <w:rPr>
      <w:b/>
      <w:bCs/>
    </w:rPr>
  </w:style>
  <w:style w:type="character" w:styleId="11">
    <w:name w:val="annotation reference"/>
    <w:basedOn w:val="10"/>
    <w:uiPriority w:val="99"/>
    <w:rPr>
      <w:sz w:val="21"/>
      <w:szCs w:val="21"/>
    </w:rPr>
  </w:style>
  <w:style w:type="paragraph" w:customStyle="1" w:styleId="12">
    <w:name w:val="全文一级大标题"/>
    <w:basedOn w:val="1"/>
    <w:link w:val="14"/>
    <w:autoRedefine/>
    <w:qFormat/>
    <w:uiPriority w:val="0"/>
    <w:pPr>
      <w:spacing w:line="640" w:lineRule="exact"/>
      <w:jc w:val="center"/>
    </w:pPr>
    <w:rPr>
      <w:rFonts w:ascii="黑体" w:eastAsia="黑体" w:cs="宋体" w:hAnsiTheme="majorEastAsia"/>
      <w:b/>
      <w:color w:val="0D0D0D" w:themeColor="text1" w:themeTint="F2"/>
      <w:sz w:val="44"/>
      <w:szCs w:val="44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paragraph" w:customStyle="1" w:styleId="13">
    <w:name w:val="全文副标题"/>
    <w:basedOn w:val="1"/>
    <w:link w:val="16"/>
    <w:qFormat/>
    <w:uiPriority w:val="0"/>
    <w:pPr>
      <w:spacing w:line="640" w:lineRule="exact"/>
      <w:jc w:val="center"/>
    </w:pPr>
    <w:rPr>
      <w:rFonts w:ascii="黑体" w:hAnsi="宋体" w:eastAsia="黑体" w:cs="仿宋"/>
      <w:b/>
      <w:sz w:val="38"/>
      <w:szCs w:val="32"/>
    </w:rPr>
  </w:style>
  <w:style w:type="character" w:customStyle="1" w:styleId="14">
    <w:name w:val="全文一级大标题 字符"/>
    <w:basedOn w:val="10"/>
    <w:link w:val="12"/>
    <w:uiPriority w:val="0"/>
    <w:rPr>
      <w:rFonts w:ascii="黑体" w:eastAsia="黑体" w:cs="宋体" w:hAnsiTheme="majorEastAsia"/>
      <w:b/>
      <w:color w:val="0D0D0D" w:themeColor="text1" w:themeTint="F2"/>
      <w:kern w:val="2"/>
      <w:sz w:val="44"/>
      <w:szCs w:val="44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paragraph" w:customStyle="1" w:styleId="15">
    <w:name w:val="抬头或称呼"/>
    <w:basedOn w:val="1"/>
    <w:link w:val="18"/>
    <w:autoRedefine/>
    <w:qFormat/>
    <w:uiPriority w:val="0"/>
    <w:pPr>
      <w:jc w:val="left"/>
    </w:pPr>
    <w:rPr>
      <w:rFonts w:ascii="宋体" w:hAnsi="宋体" w:eastAsia="宋体" w:cs="仿宋"/>
      <w:szCs w:val="32"/>
    </w:rPr>
  </w:style>
  <w:style w:type="character" w:customStyle="1" w:styleId="16">
    <w:name w:val="全文副标题 字符"/>
    <w:basedOn w:val="10"/>
    <w:link w:val="13"/>
    <w:uiPriority w:val="0"/>
    <w:rPr>
      <w:rFonts w:ascii="黑体" w:hAnsi="宋体" w:eastAsia="黑体" w:cs="仿宋"/>
      <w:b/>
      <w:kern w:val="2"/>
      <w:sz w:val="38"/>
      <w:szCs w:val="32"/>
    </w:rPr>
  </w:style>
  <w:style w:type="paragraph" w:customStyle="1" w:styleId="17">
    <w:name w:val="文本正文"/>
    <w:basedOn w:val="1"/>
    <w:link w:val="20"/>
    <w:qFormat/>
    <w:uiPriority w:val="0"/>
    <w:pPr>
      <w:spacing w:line="560" w:lineRule="exact"/>
      <w:ind w:firstLine="200" w:firstLineChars="200"/>
    </w:pPr>
    <w:rPr>
      <w:rFonts w:ascii="宋体" w:hAnsi="仿宋" w:eastAsia="宋体" w:cs="仿宋"/>
      <w:szCs w:val="32"/>
    </w:rPr>
  </w:style>
  <w:style w:type="character" w:customStyle="1" w:styleId="18">
    <w:name w:val="抬头或称呼 字符"/>
    <w:basedOn w:val="10"/>
    <w:link w:val="15"/>
    <w:qFormat/>
    <w:uiPriority w:val="0"/>
    <w:rPr>
      <w:rFonts w:ascii="宋体" w:hAnsi="宋体" w:cs="仿宋"/>
      <w:kern w:val="2"/>
      <w:sz w:val="32"/>
      <w:szCs w:val="32"/>
    </w:rPr>
  </w:style>
  <w:style w:type="paragraph" w:customStyle="1" w:styleId="19">
    <w:name w:val="正文一级标题"/>
    <w:basedOn w:val="1"/>
    <w:link w:val="22"/>
    <w:qFormat/>
    <w:uiPriority w:val="0"/>
    <w:pPr>
      <w:spacing w:line="560" w:lineRule="exact"/>
      <w:ind w:firstLine="200" w:firstLineChars="200"/>
    </w:pPr>
    <w:rPr>
      <w:rFonts w:ascii="黑体" w:hAnsi="宋体" w:eastAsia="黑体"/>
      <w:b/>
      <w:bCs/>
      <w:sz w:val="36"/>
    </w:rPr>
  </w:style>
  <w:style w:type="character" w:customStyle="1" w:styleId="20">
    <w:name w:val="文本正文 字符"/>
    <w:basedOn w:val="10"/>
    <w:link w:val="17"/>
    <w:uiPriority w:val="0"/>
    <w:rPr>
      <w:rFonts w:ascii="宋体" w:hAnsi="仿宋" w:cs="仿宋"/>
      <w:kern w:val="2"/>
      <w:sz w:val="32"/>
      <w:szCs w:val="32"/>
    </w:rPr>
  </w:style>
  <w:style w:type="paragraph" w:customStyle="1" w:styleId="21">
    <w:name w:val="正文二级标题"/>
    <w:basedOn w:val="1"/>
    <w:link w:val="58"/>
    <w:qFormat/>
    <w:uiPriority w:val="0"/>
    <w:pPr>
      <w:spacing w:line="560" w:lineRule="exact"/>
      <w:ind w:firstLine="200" w:firstLineChars="200"/>
    </w:pPr>
    <w:rPr>
      <w:rFonts w:ascii="黑体" w:eastAsia="黑体"/>
      <w:b/>
      <w:sz w:val="34"/>
    </w:rPr>
  </w:style>
  <w:style w:type="character" w:customStyle="1" w:styleId="22">
    <w:name w:val="正文一级标题 字符"/>
    <w:basedOn w:val="10"/>
    <w:link w:val="19"/>
    <w:uiPriority w:val="0"/>
    <w:rPr>
      <w:rFonts w:ascii="黑体" w:hAnsi="宋体" w:eastAsia="黑体" w:cstheme="minorBidi"/>
      <w:b/>
      <w:bCs/>
      <w:kern w:val="2"/>
      <w:sz w:val="36"/>
      <w:szCs w:val="22"/>
    </w:rPr>
  </w:style>
  <w:style w:type="paragraph" w:customStyle="1" w:styleId="23">
    <w:name w:val="正文三级标题"/>
    <w:basedOn w:val="1"/>
    <w:link w:val="25"/>
    <w:autoRedefine/>
    <w:qFormat/>
    <w:uiPriority w:val="0"/>
    <w:pPr>
      <w:spacing w:line="560" w:lineRule="exact"/>
      <w:ind w:firstLine="634" w:firstLineChars="200"/>
    </w:pPr>
    <w:rPr>
      <w:rFonts w:ascii="黑体" w:eastAsia="黑体"/>
      <w:b/>
    </w:rPr>
  </w:style>
  <w:style w:type="paragraph" w:customStyle="1" w:styleId="24">
    <w:name w:val="正文四级标题"/>
    <w:basedOn w:val="1"/>
    <w:link w:val="27"/>
    <w:qFormat/>
    <w:uiPriority w:val="0"/>
    <w:pPr>
      <w:spacing w:line="560" w:lineRule="exact"/>
      <w:ind w:firstLine="200" w:firstLineChars="200"/>
    </w:pPr>
    <w:rPr>
      <w:rFonts w:ascii="黑体" w:hAnsi="宋体" w:eastAsia="黑体"/>
    </w:rPr>
  </w:style>
  <w:style w:type="character" w:customStyle="1" w:styleId="25">
    <w:name w:val="正文三级标题 字符"/>
    <w:basedOn w:val="10"/>
    <w:link w:val="23"/>
    <w:uiPriority w:val="0"/>
    <w:rPr>
      <w:rFonts w:ascii="黑体" w:hAnsi="仿宋_GB2312" w:eastAsia="黑体" w:cstheme="minorBidi"/>
      <w:b/>
      <w:kern w:val="2"/>
      <w:sz w:val="32"/>
      <w:szCs w:val="22"/>
    </w:rPr>
  </w:style>
  <w:style w:type="paragraph" w:customStyle="1" w:styleId="26">
    <w:name w:val="此致"/>
    <w:basedOn w:val="1"/>
    <w:link w:val="28"/>
    <w:autoRedefine/>
    <w:qFormat/>
    <w:uiPriority w:val="0"/>
    <w:pPr>
      <w:spacing w:line="560" w:lineRule="exact"/>
      <w:ind w:firstLine="200" w:firstLineChars="200"/>
      <w:jc w:val="left"/>
    </w:pPr>
    <w:rPr>
      <w:rFonts w:ascii="宋体" w:hAnsi="宋体" w:eastAsia="宋体" w:cs="仿宋"/>
      <w:szCs w:val="32"/>
    </w:rPr>
  </w:style>
  <w:style w:type="character" w:customStyle="1" w:styleId="27">
    <w:name w:val="正文四级标题 字符"/>
    <w:basedOn w:val="10"/>
    <w:link w:val="24"/>
    <w:uiPriority w:val="0"/>
    <w:rPr>
      <w:rFonts w:ascii="黑体" w:hAnsi="宋体" w:eastAsia="黑体" w:cstheme="minorBidi"/>
      <w:kern w:val="2"/>
      <w:sz w:val="32"/>
      <w:szCs w:val="22"/>
    </w:rPr>
  </w:style>
  <w:style w:type="character" w:customStyle="1" w:styleId="28">
    <w:name w:val="此致 字符"/>
    <w:basedOn w:val="10"/>
    <w:link w:val="26"/>
    <w:uiPriority w:val="0"/>
    <w:rPr>
      <w:rFonts w:ascii="宋体" w:hAnsi="宋体" w:cs="仿宋"/>
      <w:kern w:val="2"/>
      <w:sz w:val="32"/>
      <w:szCs w:val="32"/>
    </w:rPr>
  </w:style>
  <w:style w:type="character" w:customStyle="1" w:styleId="29">
    <w:name w:val="批注文字 字符"/>
    <w:basedOn w:val="10"/>
    <w:link w:val="2"/>
    <w:uiPriority w:val="99"/>
    <w:rPr>
      <w:rFonts w:eastAsia="宋体"/>
      <w:kern w:val="2"/>
      <w:sz w:val="21"/>
      <w:szCs w:val="22"/>
    </w:rPr>
  </w:style>
  <w:style w:type="character" w:customStyle="1" w:styleId="30">
    <w:name w:val="批注主题 字符"/>
    <w:basedOn w:val="29"/>
    <w:link w:val="8"/>
    <w:uiPriority w:val="0"/>
    <w:rPr>
      <w:rFonts w:eastAsia="宋体"/>
      <w:b/>
      <w:bCs/>
      <w:kern w:val="2"/>
      <w:sz w:val="21"/>
      <w:szCs w:val="22"/>
    </w:rPr>
  </w:style>
  <w:style w:type="paragraph" w:customStyle="1" w:styleId="31">
    <w:name w:val="祝辞"/>
    <w:basedOn w:val="1"/>
    <w:link w:val="33"/>
    <w:autoRedefine/>
    <w:qFormat/>
    <w:uiPriority w:val="0"/>
    <w:pPr>
      <w:spacing w:line="560" w:lineRule="exact"/>
    </w:pPr>
    <w:rPr>
      <w:rFonts w:ascii="宋体" w:hAnsi="宋体" w:eastAsia="宋体" w:cs="仿宋"/>
      <w:szCs w:val="32"/>
    </w:rPr>
  </w:style>
  <w:style w:type="paragraph" w:customStyle="1" w:styleId="32">
    <w:name w:val="落款或署名"/>
    <w:basedOn w:val="1"/>
    <w:link w:val="35"/>
    <w:autoRedefine/>
    <w:qFormat/>
    <w:uiPriority w:val="0"/>
    <w:pPr>
      <w:spacing w:line="560" w:lineRule="exact"/>
      <w:jc w:val="right"/>
    </w:pPr>
    <w:rPr>
      <w:rFonts w:ascii="宋体" w:hAnsi="宋体" w:eastAsia="宋体" w:cs="仿宋"/>
      <w:szCs w:val="32"/>
    </w:rPr>
  </w:style>
  <w:style w:type="character" w:customStyle="1" w:styleId="33">
    <w:name w:val="祝辞 字符"/>
    <w:basedOn w:val="10"/>
    <w:link w:val="31"/>
    <w:uiPriority w:val="0"/>
    <w:rPr>
      <w:rFonts w:ascii="宋体" w:hAnsi="宋体" w:cs="仿宋"/>
      <w:kern w:val="2"/>
      <w:sz w:val="32"/>
      <w:szCs w:val="32"/>
    </w:rPr>
  </w:style>
  <w:style w:type="paragraph" w:customStyle="1" w:styleId="34">
    <w:name w:val="日期或时间"/>
    <w:basedOn w:val="1"/>
    <w:link w:val="36"/>
    <w:autoRedefine/>
    <w:qFormat/>
    <w:uiPriority w:val="0"/>
    <w:pPr>
      <w:spacing w:line="560" w:lineRule="exact"/>
      <w:jc w:val="right"/>
    </w:pPr>
    <w:rPr>
      <w:rFonts w:ascii="宋体" w:hAnsi="宋体" w:eastAsia="宋体"/>
      <w:shd w:val="clear" w:color="auto" w:fill="FFFFFF"/>
    </w:rPr>
  </w:style>
  <w:style w:type="character" w:customStyle="1" w:styleId="35">
    <w:name w:val="落款或署名 字符"/>
    <w:basedOn w:val="10"/>
    <w:link w:val="32"/>
    <w:uiPriority w:val="0"/>
    <w:rPr>
      <w:rFonts w:ascii="宋体" w:hAnsi="宋体" w:cs="仿宋"/>
      <w:kern w:val="2"/>
      <w:sz w:val="32"/>
      <w:szCs w:val="32"/>
    </w:rPr>
  </w:style>
  <w:style w:type="character" w:customStyle="1" w:styleId="36">
    <w:name w:val="日期或时间 字符"/>
    <w:basedOn w:val="10"/>
    <w:link w:val="34"/>
    <w:uiPriority w:val="0"/>
    <w:rPr>
      <w:rFonts w:ascii="宋体" w:hAnsi="宋体" w:cstheme="minorBidi"/>
      <w:kern w:val="2"/>
      <w:sz w:val="32"/>
      <w:szCs w:val="22"/>
    </w:rPr>
  </w:style>
  <w:style w:type="character" w:customStyle="1" w:styleId="37">
    <w:name w:val="页眉 字符"/>
    <w:basedOn w:val="10"/>
    <w:link w:val="6"/>
    <w:uiPriority w:val="0"/>
    <w:rPr>
      <w:rFonts w:eastAsia="宋体"/>
      <w:kern w:val="2"/>
      <w:sz w:val="18"/>
      <w:szCs w:val="18"/>
    </w:rPr>
  </w:style>
  <w:style w:type="character" w:customStyle="1" w:styleId="38">
    <w:name w:val="页脚 字符"/>
    <w:basedOn w:val="10"/>
    <w:link w:val="5"/>
    <w:uiPriority w:val="99"/>
    <w:rPr>
      <w:rFonts w:eastAsia="宋体"/>
      <w:kern w:val="2"/>
      <w:sz w:val="18"/>
      <w:szCs w:val="18"/>
    </w:rPr>
  </w:style>
  <w:style w:type="character" w:customStyle="1" w:styleId="39">
    <w:name w:val="副标题 字符"/>
    <w:basedOn w:val="10"/>
    <w:link w:val="7"/>
    <w:qFormat/>
    <w:uiPriority w:val="0"/>
    <w:rPr>
      <w:b/>
      <w:bCs/>
      <w:kern w:val="28"/>
      <w:sz w:val="32"/>
      <w:szCs w:val="32"/>
    </w:rPr>
  </w:style>
  <w:style w:type="paragraph" w:customStyle="1" w:styleId="40">
    <w:name w:val="署名信息"/>
    <w:basedOn w:val="1"/>
    <w:link w:val="41"/>
    <w:autoRedefine/>
    <w:qFormat/>
    <w:uiPriority w:val="0"/>
    <w:pPr>
      <w:spacing w:line="560" w:lineRule="exact"/>
      <w:jc w:val="right"/>
    </w:pPr>
    <w:rPr>
      <w:rFonts w:eastAsia="宋体"/>
    </w:rPr>
  </w:style>
  <w:style w:type="character" w:customStyle="1" w:styleId="41">
    <w:name w:val="署名信息 字符"/>
    <w:basedOn w:val="33"/>
    <w:link w:val="40"/>
    <w:uiPriority w:val="0"/>
    <w:rPr>
      <w:rFonts w:ascii="仿宋_GB2312" w:hAnsi="仿宋_GB2312" w:cstheme="minorBidi"/>
      <w:kern w:val="2"/>
      <w:sz w:val="32"/>
      <w:szCs w:val="22"/>
    </w:rPr>
  </w:style>
  <w:style w:type="character" w:customStyle="1" w:styleId="42">
    <w:name w:val="称呼 字符"/>
    <w:basedOn w:val="10"/>
    <w:link w:val="3"/>
    <w:uiPriority w:val="0"/>
    <w:rPr>
      <w:rFonts w:ascii="仿宋" w:hAnsi="仿宋" w:eastAsia="仿宋" w:cs="仿宋"/>
      <w:kern w:val="2"/>
      <w:sz w:val="28"/>
      <w:szCs w:val="32"/>
    </w:rPr>
  </w:style>
  <w:style w:type="character" w:customStyle="1" w:styleId="43">
    <w:name w:val="结束语 字符"/>
    <w:basedOn w:val="10"/>
    <w:link w:val="4"/>
    <w:uiPriority w:val="0"/>
    <w:rPr>
      <w:rFonts w:ascii="仿宋" w:hAnsi="仿宋" w:eastAsia="仿宋" w:cs="仿宋"/>
      <w:kern w:val="2"/>
      <w:sz w:val="28"/>
      <w:szCs w:val="32"/>
    </w:rPr>
  </w:style>
  <w:style w:type="paragraph" w:customStyle="1" w:styleId="44">
    <w:name w:val="目录标题"/>
    <w:basedOn w:val="1"/>
    <w:link w:val="46"/>
    <w:qFormat/>
    <w:uiPriority w:val="0"/>
    <w:pPr>
      <w:spacing w:before="50" w:beforeLines="50" w:after="50" w:afterLines="50"/>
      <w:jc w:val="center"/>
    </w:pPr>
    <w:rPr>
      <w:rFonts w:ascii="宋体" w:hAnsi="宋体" w:eastAsia="宋体" w:cs="宋体"/>
      <w:b/>
      <w:bCs/>
      <w:spacing w:val="20"/>
      <w:sz w:val="36"/>
      <w:szCs w:val="44"/>
    </w:rPr>
  </w:style>
  <w:style w:type="paragraph" w:customStyle="1" w:styleId="45">
    <w:name w:val="一级目录"/>
    <w:link w:val="47"/>
    <w:qFormat/>
    <w:uiPriority w:val="0"/>
    <w:pPr>
      <w:tabs>
        <w:tab w:val="right" w:leader="dot" w:pos="8820"/>
      </w:tabs>
      <w:jc w:val="both"/>
    </w:pPr>
    <w:rPr>
      <w:rFonts w:ascii="宋体" w:hAnsi="宋体" w:eastAsia="宋体" w:cs="宋体"/>
      <w:spacing w:val="20"/>
      <w:kern w:val="2"/>
      <w:sz w:val="24"/>
      <w:szCs w:val="28"/>
      <w:lang w:val="en-US" w:eastAsia="zh-CN" w:bidi="ar-SA"/>
    </w:rPr>
  </w:style>
  <w:style w:type="character" w:customStyle="1" w:styleId="46">
    <w:name w:val="目录标题 字符"/>
    <w:link w:val="44"/>
    <w:uiPriority w:val="0"/>
    <w:rPr>
      <w:rFonts w:ascii="宋体" w:hAnsi="宋体" w:cs="宋体"/>
      <w:b/>
      <w:bCs/>
      <w:spacing w:val="20"/>
      <w:kern w:val="2"/>
      <w:sz w:val="36"/>
      <w:szCs w:val="44"/>
    </w:rPr>
  </w:style>
  <w:style w:type="character" w:customStyle="1" w:styleId="47">
    <w:name w:val="一级目录 字符"/>
    <w:link w:val="45"/>
    <w:uiPriority w:val="0"/>
    <w:rPr>
      <w:rFonts w:ascii="宋体" w:hAnsi="宋体" w:cs="宋体"/>
      <w:spacing w:val="20"/>
      <w:kern w:val="2"/>
      <w:sz w:val="24"/>
      <w:szCs w:val="28"/>
    </w:rPr>
  </w:style>
  <w:style w:type="paragraph" w:customStyle="1" w:styleId="48">
    <w:name w:val="二级目录"/>
    <w:link w:val="49"/>
    <w:qFormat/>
    <w:uiPriority w:val="0"/>
    <w:pPr>
      <w:tabs>
        <w:tab w:val="right" w:leader="dot" w:pos="8820"/>
      </w:tabs>
      <w:ind w:firstLine="200" w:firstLineChars="200"/>
    </w:pPr>
    <w:rPr>
      <w:rFonts w:ascii="宋体" w:hAnsi="宋体" w:eastAsia="宋体" w:cs="宋体"/>
      <w:spacing w:val="20"/>
      <w:kern w:val="2"/>
      <w:sz w:val="24"/>
      <w:szCs w:val="28"/>
      <w:lang w:val="en-US" w:eastAsia="zh-CN" w:bidi="ar-SA"/>
    </w:rPr>
  </w:style>
  <w:style w:type="character" w:customStyle="1" w:styleId="49">
    <w:name w:val="二级目录 字符"/>
    <w:link w:val="48"/>
    <w:uiPriority w:val="0"/>
    <w:rPr>
      <w:rFonts w:ascii="宋体" w:hAnsi="宋体" w:cs="宋体"/>
      <w:spacing w:val="20"/>
      <w:kern w:val="2"/>
      <w:sz w:val="24"/>
      <w:szCs w:val="28"/>
    </w:rPr>
  </w:style>
  <w:style w:type="paragraph" w:customStyle="1" w:styleId="50">
    <w:name w:val="三级目录"/>
    <w:link w:val="51"/>
    <w:qFormat/>
    <w:uiPriority w:val="0"/>
    <w:pPr>
      <w:tabs>
        <w:tab w:val="right" w:leader="dot" w:pos="8820"/>
      </w:tabs>
      <w:ind w:firstLine="400" w:firstLineChars="400"/>
    </w:pPr>
    <w:rPr>
      <w:rFonts w:ascii="宋体" w:hAnsi="宋体" w:eastAsia="宋体" w:cs="宋体"/>
      <w:spacing w:val="20"/>
      <w:kern w:val="2"/>
      <w:sz w:val="24"/>
      <w:szCs w:val="28"/>
      <w:lang w:val="en-US" w:eastAsia="zh-CN" w:bidi="ar-SA"/>
    </w:rPr>
  </w:style>
  <w:style w:type="character" w:customStyle="1" w:styleId="51">
    <w:name w:val="三级目录 字符"/>
    <w:link w:val="50"/>
    <w:uiPriority w:val="0"/>
    <w:rPr>
      <w:rFonts w:ascii="宋体" w:hAnsi="宋体" w:cs="宋体"/>
      <w:spacing w:val="20"/>
      <w:kern w:val="2"/>
      <w:sz w:val="24"/>
      <w:szCs w:val="28"/>
    </w:rPr>
  </w:style>
  <w:style w:type="paragraph" w:customStyle="1" w:styleId="52">
    <w:name w:val="四级目录"/>
    <w:link w:val="53"/>
    <w:qFormat/>
    <w:uiPriority w:val="0"/>
    <w:pPr>
      <w:tabs>
        <w:tab w:val="right" w:leader="dot" w:pos="8820"/>
      </w:tabs>
      <w:ind w:firstLine="600" w:firstLineChars="600"/>
    </w:pPr>
    <w:rPr>
      <w:rFonts w:ascii="宋体" w:hAnsi="宋体" w:eastAsia="宋体" w:cs="宋体"/>
      <w:spacing w:val="20"/>
      <w:kern w:val="2"/>
      <w:sz w:val="24"/>
      <w:szCs w:val="28"/>
      <w:lang w:val="en-US" w:eastAsia="zh-CN" w:bidi="ar-SA"/>
    </w:rPr>
  </w:style>
  <w:style w:type="character" w:customStyle="1" w:styleId="53">
    <w:name w:val="四级目录 字符"/>
    <w:link w:val="52"/>
    <w:uiPriority w:val="0"/>
    <w:rPr>
      <w:rFonts w:ascii="宋体" w:hAnsi="宋体" w:cs="宋体"/>
      <w:spacing w:val="20"/>
      <w:kern w:val="2"/>
      <w:sz w:val="24"/>
      <w:szCs w:val="28"/>
    </w:rPr>
  </w:style>
  <w:style w:type="paragraph" w:customStyle="1" w:styleId="54">
    <w:name w:val="题记正文"/>
    <w:link w:val="56"/>
    <w:qFormat/>
    <w:uiPriority w:val="0"/>
    <w:pPr>
      <w:spacing w:line="560" w:lineRule="exact"/>
    </w:pPr>
    <w:rPr>
      <w:rFonts w:ascii="宋体" w:hAnsi="宋体" w:eastAsia="宋体" w:cs="仿宋"/>
      <w:kern w:val="2"/>
      <w:sz w:val="32"/>
      <w:szCs w:val="32"/>
      <w:lang w:val="en-US" w:eastAsia="zh-CN" w:bidi="ar-SA"/>
    </w:rPr>
  </w:style>
  <w:style w:type="paragraph" w:customStyle="1" w:styleId="55">
    <w:name w:val="题记标题"/>
    <w:link w:val="57"/>
    <w:qFormat/>
    <w:uiPriority w:val="0"/>
    <w:pPr>
      <w:spacing w:line="560" w:lineRule="exact"/>
      <w:jc w:val="right"/>
    </w:pPr>
    <w:rPr>
      <w:rFonts w:ascii="楷体" w:hAnsi="楷体" w:eastAsia="楷体" w:cs="仿宋"/>
      <w:kern w:val="2"/>
      <w:sz w:val="32"/>
      <w:szCs w:val="32"/>
      <w:lang w:val="en-US" w:eastAsia="zh-CN" w:bidi="ar-SA"/>
    </w:rPr>
  </w:style>
  <w:style w:type="character" w:customStyle="1" w:styleId="56">
    <w:name w:val="题记正文 字符"/>
    <w:basedOn w:val="20"/>
    <w:link w:val="54"/>
    <w:uiPriority w:val="0"/>
    <w:rPr>
      <w:rFonts w:ascii="宋体" w:hAnsi="宋体" w:cs="仿宋"/>
      <w:kern w:val="2"/>
      <w:sz w:val="32"/>
      <w:szCs w:val="32"/>
    </w:rPr>
  </w:style>
  <w:style w:type="character" w:customStyle="1" w:styleId="57">
    <w:name w:val="题记标题 字符"/>
    <w:basedOn w:val="56"/>
    <w:link w:val="55"/>
    <w:uiPriority w:val="0"/>
    <w:rPr>
      <w:rFonts w:ascii="楷体" w:hAnsi="楷体" w:eastAsia="楷体" w:cs="仿宋"/>
      <w:kern w:val="2"/>
      <w:sz w:val="32"/>
      <w:szCs w:val="32"/>
    </w:rPr>
  </w:style>
  <w:style w:type="character" w:customStyle="1" w:styleId="58">
    <w:name w:val="正文二级标题 字符"/>
    <w:basedOn w:val="10"/>
    <w:link w:val="21"/>
    <w:uiPriority w:val="0"/>
    <w:rPr>
      <w:rFonts w:ascii="黑体" w:hAnsi="仿宋_GB2312" w:eastAsia="黑体" w:cstheme="minorBidi"/>
      <w:b/>
      <w:kern w:val="2"/>
      <w:sz w:val="34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3485</Words>
  <Characters>5564</Characters>
  <Lines>11</Lines>
  <Paragraphs>3</Paragraphs>
  <TotalTime>112</TotalTime>
  <ScaleCrop>false</ScaleCrop>
  <LinksUpToDate>false</LinksUpToDate>
  <CharactersWithSpaces>5887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2025-08-04T03:15:00Z</dcterms:created>
  <dc:creator>yu</dc:creator>
  <cp:lastModifiedBy>WPS_1642071693</cp:lastModifiedBy>
  <dcterms:modified xsi:type="dcterms:W3CDTF">2026-09-25T16:11:37Z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CBB7EAB422E04C2788AC8A02029F06FC</vt:lpwstr>
  </property>
  <property fmtid="{D5CDD505-2E9C-101B-9397-08002B2CF9AE}" pid="4" name="KSOTemplateDocerSaveRecord">
    <vt:lpwstr>eyJoZGlkIjoiMTQ4NjdmNDlhZmY5MzMyNTA4ZGU1OWE3MjU2M2QxNWUifQ==</vt:lpwstr>
  </property>
  <property fmtid="{D5CDD505-2E9C-101B-9397-08002B2CF9AE}" pid="5" name="property1">
    <vt:lpwstr>BBAAD9C20014179B94A0072836F0B97042B9B20A10322B00A0D98F30B1392BD9CB46BD3801CE7B0F229923089846F6EB89E9217A11D0DBA11BBFC2F17B6E3BD124DDC5AD5827895714902AE7630F4391DC25E4CC7C9D22D6A8EC71913CF4DCD8DA8624929E3</vt:lpwstr>
  </property>
  <property fmtid="{D5CDD505-2E9C-101B-9397-08002B2CF9AE}" pid="6" name="property2">
    <vt:lpwstr>BBAAD9C20014179B94A0072836F0BFD0E2B9B20210916BD0A5D98133B19D2BE9CB4CB83801CBFB022249260898462DEBF5E921DAB1D08B511BBFC22E7A0E36DC24DDBBAD7C2DA9B7E4B4259768FF4393B6F3E5C97450C284B8FB81955069DCA8D8A629913E3</vt:lpwstr>
  </property>
  <property fmtid="{D5CDD505-2E9C-101B-9397-08002B2CF9AE}" pid="7" name="property3">
    <vt:lpwstr>BBAAD9C20014179B94A0072836F0B6D062B9B20F15040BD0A3D98F33B1CB2B767B44BC38A1C1DB0B22092008984663EBDCE9210AB1D0BB511BBFC2EB7BAE36D824DF3DAD2022B9B794C829376E2F4E8F5943EEE17CFF0183A8DE4195FA812C68DEA6229EBE3</vt:lpwstr>
  </property>
</Properties>
</file>