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6FE0"/>
          <w:sz w:val="30"/>
        </w:rPr>
        <w:t>AZURE AI SOLUTION</w:t>
      </w:r>
    </w:p>
    <w:p>
      <w:pPr>
        <w:jc w:val="center"/>
      </w:pPr>
      <w:r>
        <w:rPr>
          <w:b/>
          <w:color w:val="1F3864"/>
          <w:sz w:val="64"/>
        </w:rPr>
        <w:t>Cost Model: Fixed vs. Variable</w:t>
      </w:r>
    </w:p>
    <w:p>
      <w:pPr>
        <w:jc w:val="center"/>
      </w:pPr>
      <w:r>
        <w:rPr>
          <w:color w:val="555F6E"/>
          <w:sz w:val="26"/>
        </w:rPr>
        <w:t>Social Study App  ·  Multi-tenant AI study platform</w:t>
      </w:r>
    </w:p>
    <w:p>
      <w:pPr>
        <w:spacing w:after="200"/>
      </w:pPr>
    </w:p>
    <w:p>
      <w:pPr>
        <w:jc w:val="center"/>
      </w:pPr>
      <w:r>
        <w:rPr>
          <w:b/>
          <w:color w:val="1A1F2B"/>
          <w:sz w:val="24"/>
        </w:rPr>
        <w:t>Fixed ~$580/mo   ·   Variable ~$0.35/active user   ·   Per-user $0.36–$0.48 at scale</w:t>
      </w:r>
    </w:p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776"/>
            <w:shd w:val="clear" w:fill="EEF2FA"/>
          </w:tcPr>
          <w:p>
            <w:r>
              <w:rPr>
                <w:b/>
                <w:color w:val="1F3864"/>
                <w:sz w:val="20"/>
              </w:rPr>
              <w:t xml:space="preserve">Subscription:  </w:t>
            </w:r>
            <w:r>
              <w:rPr>
                <w:color w:val="1A1F2B"/>
                <w:sz w:val="20"/>
              </w:rPr>
              <w:t>Azure subscription 1 (7697a402…)</w:t>
            </w:r>
          </w:p>
          <w:p>
            <w:r>
              <w:rPr>
                <w:b/>
                <w:color w:val="1F3864"/>
                <w:sz w:val="20"/>
              </w:rPr>
              <w:t xml:space="preserve">Live data:  </w:t>
            </w:r>
            <w:r>
              <w:rPr>
                <w:color w:val="1A1F2B"/>
                <w:sz w:val="20"/>
              </w:rPr>
              <w:t>Cost Management API — rg-ssa2-dev, 30-day rolling 2026-05-24 → 06-23</w:t>
            </w:r>
          </w:p>
          <w:p>
            <w:r>
              <w:rPr>
                <w:b/>
                <w:color w:val="1F3864"/>
                <w:sz w:val="20"/>
              </w:rPr>
              <w:t xml:space="preserve">Model basis:  </w:t>
            </w:r>
            <w:r>
              <w:rPr>
                <w:color w:val="1A1F2B"/>
                <w:sz w:val="20"/>
              </w:rPr>
              <w:t>Confirmed product assumptions (moderate usage, blended mini+4o, right-sized Cosmos)</w:t>
            </w:r>
          </w:p>
          <w:p>
            <w:r>
              <w:rPr>
                <w:b/>
                <w:color w:val="1F3864"/>
                <w:sz w:val="20"/>
              </w:rPr>
              <w:t xml:space="preserve">Pricing:  </w:t>
            </w:r>
            <w:r>
              <w:rPr>
                <w:color w:val="1A1F2B"/>
                <w:sz w:val="20"/>
              </w:rPr>
              <w:t>Public pay-as-you-go (USD); fixed SKUs calibrated to dev actuals</w:t>
            </w:r>
          </w:p>
          <w:p>
            <w:r>
              <w:rPr>
                <w:b/>
                <w:color w:val="1F3864"/>
                <w:sz w:val="20"/>
              </w:rPr>
              <w:t xml:space="preserve">Confidence:  </w:t>
            </w:r>
            <w:r>
              <w:rPr>
                <w:color w:val="1A1F2B"/>
                <w:sz w:val="20"/>
              </w:rPr>
              <w:t>HIGH on actuals &amp; fixed · MEDIUM on token volume per user</w:t>
            </w:r>
          </w:p>
          <w:p>
            <w:r>
              <w:rPr>
                <w:b/>
                <w:color w:val="1F3864"/>
                <w:sz w:val="20"/>
              </w:rPr>
              <w:t xml:space="preserve">Prepared:  </w:t>
            </w:r>
            <w:r>
              <w:rPr>
                <w:color w:val="1A1F2B"/>
                <w:sz w:val="20"/>
              </w:rPr>
              <w:t>2026-06-23</w:t>
            </w:r>
          </w:p>
        </w:tc>
      </w:tr>
    </w:tbl>
    <w:p>
      <w:r>
        <w:br w:type="page"/>
      </w:r>
    </w:p>
    <w:p>
      <w:r>
        <w:rPr>
          <w:b/>
          <w:color w:val="2E6FE0"/>
          <w:sz w:val="28"/>
        </w:rPr>
        <w:t xml:space="preserve">1  </w:t>
      </w:r>
      <w:r>
        <w:rPr>
          <w:b/>
          <w:color w:val="1F3864"/>
          <w:sz w:val="28"/>
        </w:rPr>
        <w:t>The Four Answers (at a glance)</w:t>
      </w:r>
    </w:p>
    <w:p>
      <w:pPr>
        <w:spacing w:after="120"/>
      </w:pPr>
      <w:r>
        <w:rPr>
          <w:i w:val="0"/>
          <w:color w:val="1A1F2B"/>
          <w:sz w:val="21"/>
        </w:rPr>
        <w:t>This model separates costs that are paid regardless of users from costs that grow with usage. Current dev spend cannot be used to derive per-user cost (no production traffic), so the variable model is built from confirmed product assumptions and validated against live fixed-cost actuals.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What is the fixed cost?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~$580 / month</w:t>
            </w:r>
          </w:p>
        </w:tc>
        <w:tc>
          <w:tcPr>
            <w:tcW w:type="dxa" w:w="3888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Paid 24/7 regardless of user count</w:t>
            </w:r>
          </w:p>
        </w:tc>
      </w:tr>
      <w:tr>
        <w:tc>
          <w:tcPr>
            <w:tcW w:type="dxa" w:w="302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Variable cost per user?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~$0.35 / active user / mo</w:t>
            </w:r>
          </w:p>
        </w:tc>
        <w:tc>
          <w:tcPr>
            <w:tcW w:type="dxa" w:w="3888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Blended GPT-4o-mini + GPT-4o</w:t>
            </w:r>
          </w:p>
        </w:tc>
      </w:tr>
      <w:tr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What increases per user?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GPT tokens + moderation (linear)</w:t>
            </w:r>
          </w:p>
        </w:tc>
        <w:tc>
          <w:tcPr>
            <w:tcW w:type="dxa" w:w="3888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Cosmos/compute sub-linear; Search/Redis flat</w:t>
            </w:r>
          </w:p>
        </w:tc>
      </w:tr>
      <w:tr>
        <w:tc>
          <w:tcPr>
            <w:tcW w:type="dxa" w:w="302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Cost based on usage/user?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$0.0006–$0.010 per generation</w:t>
            </w:r>
          </w:p>
        </w:tc>
        <w:tc>
          <w:tcPr>
            <w:tcW w:type="dxa" w:w="3888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Unit rates — compute from real telemetry</w:t>
            </w:r>
          </w:p>
        </w:tc>
      </w:tr>
      <w:tr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Per-user at 5,000 MAU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~$0.48 / student / mo</w:t>
            </w:r>
          </w:p>
        </w:tc>
        <w:tc>
          <w:tcPr>
            <w:tcW w:type="dxa" w:w="3888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Falls toward ~$0.36 marginal floor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fill="FFF3DD"/>
          </w:tcPr>
          <w:p>
            <w:r>
              <w:rPr>
                <w:b/>
                <w:color w:val="B57000"/>
                <w:sz w:val="21"/>
              </w:rPr>
              <w:t>WHY THE CURRENT BILL IS MISLEADING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Live dev spend is $733.63/mo, of which Cosmos DB is $598 (82%). That Cosmos figure was OVER-PROVISIONING — per-tenant databases carried far more provisioned RU/s than the tiny dev workload needed. Right-sized to shared autoscale it drops to ~$60/mo (~$540 recovered).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Also: dev runs Basic SKUs and (despite scaling drift) carries no user traffic — so GPT-4o spend is only $5.55/mo today. Per-user economics must therefore be modeled, not read off the dev bill.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595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osm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9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2E6FE0"/>
          <w:sz w:val="28"/>
        </w:rPr>
        <w:t xml:space="preserve">2  </w:t>
      </w:r>
      <w:r>
        <w:rPr>
          <w:b/>
          <w:color w:val="1F3864"/>
          <w:sz w:val="28"/>
        </w:rPr>
        <w:t>Fixed Cost — what you pay regardless of users</w:t>
      </w:r>
    </w:p>
    <w:p>
      <w:pPr>
        <w:spacing w:after="120"/>
      </w:pPr>
      <w:r>
        <w:rPr>
          <w:i w:val="0"/>
          <w:color w:val="1A1F2B"/>
          <w:sz w:val="21"/>
        </w:rPr>
        <w:t>~$580/month for the production posture (AI Search S1, Redis Standard C1, min-replica=1 always-on, GRS storage), with Cosmos right-sized to shared autoscale. Fixed SKUs are calibrated against real dev actuals (e.g. dev AI Search Basic billed $73.12 → S1 ≈ $245; dev Container Apps 2 vCPU billed $35.50 → prod 4 vCPU ≈ $75).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62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f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config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/ mo</w:t>
            </w:r>
          </w:p>
        </w:tc>
      </w:tr>
      <w:tr>
        <w:tc>
          <w:tcPr>
            <w:tcW w:type="dxa" w:w="273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Azure AI Search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Standard S1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$245</w:t>
            </w:r>
          </w:p>
        </w:tc>
      </w:tr>
      <w:tr>
        <w:tc>
          <w:tcPr>
            <w:tcW w:type="dxa" w:w="273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Azure Cache for Redis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Standard C1 (1 GB)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$124</w:t>
            </w:r>
          </w:p>
        </w:tc>
      </w:tr>
      <w:tr>
        <w:tc>
          <w:tcPr>
            <w:tcW w:type="dxa" w:w="273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Container Apps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5 apps, min-replica=1 idle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$75</w:t>
            </w:r>
          </w:p>
        </w:tc>
      </w:tr>
      <w:tr>
        <w:tc>
          <w:tcPr>
            <w:tcW w:type="dxa" w:w="273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Cosmos DB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shared autoscale (right-sized)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Usage-baselined</w:t>
            </w:r>
          </w:p>
        </w:tc>
        <w:tc>
          <w:tcPr>
            <w:tcW w:type="dxa" w:w="129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$60</w:t>
            </w:r>
          </w:p>
        </w:tc>
      </w:tr>
      <w:tr>
        <w:tc>
          <w:tcPr>
            <w:tcW w:type="dxa" w:w="273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Log Analytics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baseline ingest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Usage-baselined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$30</w:t>
            </w:r>
          </w:p>
        </w:tc>
      </w:tr>
      <w:tr>
        <w:tc>
          <w:tcPr>
            <w:tcW w:type="dxa" w:w="273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Container Registry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Standard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$20</w:t>
            </w:r>
          </w:p>
        </w:tc>
      </w:tr>
      <w:tr>
        <w:tc>
          <w:tcPr>
            <w:tcW w:type="dxa" w:w="273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Service Bus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Standard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$10</w:t>
            </w:r>
          </w:p>
        </w:tc>
      </w:tr>
      <w:tr>
        <w:tc>
          <w:tcPr>
            <w:tcW w:type="dxa" w:w="273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Notification Hubs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$10</w:t>
            </w:r>
          </w:p>
        </w:tc>
      </w:tr>
      <w:tr>
        <w:tc>
          <w:tcPr>
            <w:tcW w:type="dxa" w:w="273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Blob Storage</w:t>
            </w:r>
          </w:p>
        </w:tc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Standard GRS (base)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Usage-baselined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$5</w:t>
            </w:r>
          </w:p>
        </w:tc>
      </w:tr>
      <w:tr>
        <w:tc>
          <w:tcPr>
            <w:tcW w:type="dxa" w:w="273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Key Vault</w:t>
            </w:r>
          </w:p>
        </w:tc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Standard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Hard-fixed</w:t>
            </w:r>
          </w:p>
        </w:tc>
        <w:tc>
          <w:tcPr>
            <w:tcW w:type="dxa" w:w="129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</w:t>
            </w:r>
          </w:p>
        </w:tc>
      </w:tr>
      <w:tr>
        <w:tc>
          <w:tcPr>
            <w:tcW w:type="dxa" w:w="2736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FIXED TOTAL</w:t>
            </w:r>
          </w:p>
        </w:tc>
        <w:tc>
          <w:tcPr>
            <w:tcW w:type="dxa" w:w="3312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~$485 hard + ~$95 baselined</w:t>
            </w:r>
          </w:p>
        </w:tc>
        <w:tc>
          <w:tcPr>
            <w:tcW w:type="dxa" w:w="1872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</w:r>
          </w:p>
        </w:tc>
        <w:tc>
          <w:tcPr>
            <w:tcW w:type="dxa" w:w="1296"/>
            <w:shd w:val="clear" w:fill="EEF2FA"/>
          </w:tcPr>
          <w:p>
            <w:pPr>
              <w:jc w:val="right"/>
            </w:pPr>
            <w:r/>
            <w:r>
              <w:rPr>
                <w:b/>
                <w:color w:val="1F3864"/>
                <w:sz w:val="19"/>
              </w:rPr>
              <w:t>$580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 w:val="0"/>
          <w:color w:val="555F6E"/>
          <w:sz w:val="19"/>
        </w:rPr>
        <w:t>Hard-fixed (~$485) does not move at all. Usage-baselined (~$95: Cosmos autoscale floor, Log Analytics, storage base) carries a small baseline that grows slowly with aggregate load.</w:t>
      </w:r>
    </w:p>
    <w:p>
      <w:r>
        <w:br w:type="page"/>
      </w:r>
    </w:p>
    <w:p>
      <w:r>
        <w:rPr>
          <w:b/>
          <w:color w:val="2E6FE0"/>
          <w:sz w:val="28"/>
        </w:rPr>
        <w:t xml:space="preserve">3  </w:t>
      </w:r>
      <w:r>
        <w:rPr>
          <w:b/>
          <w:color w:val="1F3864"/>
          <w:sz w:val="28"/>
        </w:rPr>
        <w:t>Variable Cost — what each active user adds</w:t>
      </w:r>
    </w:p>
    <w:p>
      <w:pPr>
        <w:spacing w:after="120"/>
      </w:pPr>
      <w:r>
        <w:rPr>
          <w:i w:val="0"/>
          <w:color w:val="1A1F2B"/>
          <w:sz w:val="21"/>
        </w:rPr>
        <w:t>~$0.35/active student/month under the chosen BLENDED model (GPT-4o-mini for simple MCQ/T-F/short-answer, GPT-4o for complex long-answer &amp; math). For comparison, GPT-4o-only would be ~$0.98/user — the blend cuts variable cost ~63%.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25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v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r>
        <w:rPr>
          <w:b/>
          <w:color w:val="1F3864"/>
          <w:sz w:val="22"/>
        </w:rPr>
        <w:t>Assumptions — per active student / month (moderate usage)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Assumption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74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Questions answered</w:t>
            </w:r>
          </w:p>
        </w:tc>
        <w:tc>
          <w:tcPr>
            <w:tcW w:type="dxa" w:w="561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~270 (15/day × 18 active days)</w:t>
            </w:r>
          </w:p>
        </w:tc>
      </w:tr>
      <w:tr>
        <w:tc>
          <w:tcPr>
            <w:tcW w:type="dxa" w:w="374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Freshly AI-generated</w:t>
            </w:r>
          </w:p>
        </w:tc>
        <w:tc>
          <w:tcPr>
            <w:tcW w:type="dxa" w:w="561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~70 (25%; rest reused from bank)</w:t>
            </w:r>
          </w:p>
        </w:tc>
      </w:tr>
      <w:tr>
        <w:tc>
          <w:tcPr>
            <w:tcW w:type="dxa" w:w="374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Simple vs complex split</w:t>
            </w:r>
          </w:p>
        </w:tc>
        <w:tc>
          <w:tcPr>
            <w:tcW w:type="dxa" w:w="561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~70% mini / ~30% GPT-4o</w:t>
            </w:r>
          </w:p>
        </w:tc>
      </w:tr>
      <w:tr>
        <w:tc>
          <w:tcPr>
            <w:tcW w:type="dxa" w:w="374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Tokens per generation</w:t>
            </w:r>
          </w:p>
        </w:tc>
        <w:tc>
          <w:tcPr>
            <w:tcW w:type="dxa" w:w="561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~2,000 in / ~500 out</w:t>
            </w:r>
          </w:p>
        </w:tc>
      </w:tr>
      <w:tr>
        <w:tc>
          <w:tcPr>
            <w:tcW w:type="dxa" w:w="374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Flashcards generated</w:t>
            </w:r>
          </w:p>
        </w:tc>
        <w:tc>
          <w:tcPr>
            <w:tcW w:type="dxa" w:w="561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~30 (mini)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72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/ user / mo</w:t>
            </w:r>
          </w:p>
        </w:tc>
      </w:tr>
      <w:tr>
        <w:tc>
          <w:tcPr>
            <w:tcW w:type="dxa" w:w="46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GPT-4o-mini — simple questions (~49)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mini</w:t>
            </w:r>
          </w:p>
        </w:tc>
        <w:tc>
          <w:tcPr>
            <w:tcW w:type="dxa" w:w="1872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$0.029</w:t>
            </w:r>
          </w:p>
        </w:tc>
      </w:tr>
      <w:tr>
        <w:tc>
          <w:tcPr>
            <w:tcW w:type="dxa" w:w="46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GPT-4o — complex questions (~21)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4o</w:t>
            </w:r>
          </w:p>
        </w:tc>
        <w:tc>
          <w:tcPr>
            <w:tcW w:type="dxa" w:w="1872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$0.210</w:t>
            </w:r>
          </w:p>
        </w:tc>
      </w:tr>
      <w:tr>
        <w:tc>
          <w:tcPr>
            <w:tcW w:type="dxa" w:w="46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Flashcards (~30)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mini</w:t>
            </w:r>
          </w:p>
        </w:tc>
        <w:tc>
          <w:tcPr>
            <w:tcW w:type="dxa" w:w="1872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$0.011</w:t>
            </w:r>
          </w:p>
        </w:tc>
      </w:tr>
      <w:tr>
        <w:tc>
          <w:tcPr>
            <w:tcW w:type="dxa" w:w="46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Content Safety (~100 records)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per-record</w:t>
            </w:r>
          </w:p>
        </w:tc>
        <w:tc>
          <w:tcPr>
            <w:tcW w:type="dxa" w:w="1872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$0.075</w:t>
            </w:r>
          </w:p>
        </w:tc>
      </w:tr>
      <w:tr>
        <w:tc>
          <w:tcPr>
            <w:tcW w:type="dxa" w:w="46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Cosmos RU + storage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autoscale</w:t>
            </w:r>
          </w:p>
        </w:tc>
        <w:tc>
          <w:tcPr>
            <w:tcW w:type="dxa" w:w="1872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$0.020</w:t>
            </w:r>
          </w:p>
        </w:tc>
      </w:tr>
      <w:tr>
        <w:tc>
          <w:tcPr>
            <w:tcW w:type="dxa" w:w="46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Container Apps active compute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per-request</w:t>
            </w:r>
          </w:p>
        </w:tc>
        <w:tc>
          <w:tcPr>
            <w:tcW w:type="dxa" w:w="1872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$0.010</w:t>
            </w:r>
          </w:p>
        </w:tc>
      </w:tr>
      <w:tr>
        <w:tc>
          <w:tcPr>
            <w:tcW w:type="dxa" w:w="4608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MARGINAL COST / USER</w:t>
            </w:r>
          </w:p>
        </w:tc>
        <w:tc>
          <w:tcPr>
            <w:tcW w:type="dxa" w:w="2160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blended</w:t>
            </w:r>
          </w:p>
        </w:tc>
        <w:tc>
          <w:tcPr>
            <w:tcW w:type="dxa" w:w="1872"/>
            <w:shd w:val="clear" w:fill="EEF2FA"/>
          </w:tcPr>
          <w:p>
            <w:pPr>
              <w:jc w:val="right"/>
            </w:pPr>
            <w:r/>
            <w:r>
              <w:rPr>
                <w:b/>
                <w:color w:val="1F3864"/>
                <w:sz w:val="19"/>
              </w:rPr>
              <w:t>$0.35</w:t>
            </w:r>
          </w:p>
        </w:tc>
      </w:tr>
    </w:tbl>
    <w:p>
      <w:r>
        <w:br w:type="page"/>
      </w:r>
    </w:p>
    <w:p>
      <w:r>
        <w:rPr>
          <w:b/>
          <w:color w:val="2E6FE0"/>
          <w:sz w:val="28"/>
        </w:rPr>
        <w:t xml:space="preserve">4  </w:t>
      </w:r>
      <w:r>
        <w:rPr>
          <w:b/>
          <w:color w:val="1F3864"/>
          <w:sz w:val="28"/>
        </w:rPr>
        <w:t>What Increases With Each User</w:t>
      </w:r>
    </w:p>
    <w:p>
      <w:r>
        <w:rPr>
          <w:b/>
          <w:color w:val="1F3864"/>
          <w:sz w:val="22"/>
        </w:rPr>
        <w:t>Linear — true per-user variable (~$0.33 of the $0.36)</w:t>
      </w:r>
    </w:p>
    <w:p>
      <w:pPr>
        <w:pStyle w:val="ListBullet"/>
        <w:spacing w:after="60"/>
      </w:pPr>
      <w:r>
        <w:rPr>
          <w:b/>
          <w:sz w:val="21"/>
        </w:rPr>
        <w:t xml:space="preserve">GPT tokens (mini + 4o): </w:t>
      </w:r>
      <w:r>
        <w:rPr>
          <w:b w:val="0"/>
          <w:sz w:val="21"/>
        </w:rPr>
        <w:t>every fresh question/flashcard costs tokens; scales directly with how much each student generates.</w:t>
      </w:r>
    </w:p>
    <w:p>
      <w:pPr>
        <w:pStyle w:val="ListBullet"/>
        <w:spacing w:after="60"/>
      </w:pPr>
      <w:r>
        <w:rPr>
          <w:b/>
          <w:sz w:val="21"/>
        </w:rPr>
        <w:t xml:space="preserve">Content Safety: </w:t>
      </w:r>
      <w:r>
        <w:rPr>
          <w:b w:val="0"/>
          <w:sz w:val="21"/>
        </w:rPr>
        <w:t>per-record moderation on generated content; one charge per item.</w:t>
      </w:r>
    </w:p>
    <w:p>
      <w:r>
        <w:rPr>
          <w:b/>
          <w:color w:val="1F3864"/>
          <w:sz w:val="22"/>
        </w:rPr>
        <w:t>Sub-linear — consumption / autoscale (~$0.03 of the $0.36)</w:t>
      </w:r>
    </w:p>
    <w:p>
      <w:pPr>
        <w:pStyle w:val="ListBullet"/>
        <w:spacing w:after="60"/>
      </w:pPr>
      <w:r>
        <w:rPr>
          <w:b/>
          <w:sz w:val="21"/>
        </w:rPr>
        <w:t xml:space="preserve">Cosmos DB: </w:t>
      </w:r>
      <w:r>
        <w:rPr>
          <w:b w:val="0"/>
          <w:sz w:val="21"/>
        </w:rPr>
        <w:t>autoscale RU + storage rise with reads/writes, but share capacity across users.</w:t>
      </w:r>
    </w:p>
    <w:p>
      <w:pPr>
        <w:pStyle w:val="ListBullet"/>
        <w:spacing w:after="60"/>
      </w:pPr>
      <w:r>
        <w:rPr>
          <w:b/>
          <w:sz w:val="21"/>
        </w:rPr>
        <w:t xml:space="preserve">Container Apps active compute &amp; Log Analytics: </w:t>
      </w:r>
      <w:r>
        <w:rPr>
          <w:b w:val="0"/>
          <w:sz w:val="21"/>
        </w:rPr>
        <w:t>grow with aggregate request and log volume, not 1:1 per user.</w:t>
      </w:r>
    </w:p>
    <w:p>
      <w:r>
        <w:rPr>
          <w:b/>
          <w:color w:val="1F3864"/>
          <w:sz w:val="22"/>
        </w:rPr>
        <w:t>Step functions — capacity jumps, NOT per-user</w:t>
      </w:r>
    </w:p>
    <w:p>
      <w:pPr>
        <w:pStyle w:val="ListBullet"/>
        <w:spacing w:after="60"/>
      </w:pPr>
      <w:r>
        <w:rPr>
          <w:b/>
          <w:sz w:val="21"/>
        </w:rPr>
        <w:t xml:space="preserve">AI Search replica/partition (~+$245): </w:t>
      </w:r>
      <w:r>
        <w:rPr>
          <w:b w:val="0"/>
          <w:sz w:val="21"/>
        </w:rPr>
        <w:t>added only when the index outgrows the S1 unit.</w:t>
      </w:r>
    </w:p>
    <w:p>
      <w:pPr>
        <w:pStyle w:val="ListBullet"/>
        <w:spacing w:after="60"/>
      </w:pPr>
      <w:r>
        <w:rPr>
          <w:b/>
          <w:sz w:val="21"/>
        </w:rPr>
        <w:t xml:space="preserve">Container App replicas: </w:t>
      </w:r>
      <w:r>
        <w:rPr>
          <w:b w:val="0"/>
          <w:sz w:val="21"/>
        </w:rPr>
        <w:t>scale out under burst load, then back down.</w:t>
      </w:r>
    </w:p>
    <w:p>
      <w:r>
        <w:rPr>
          <w:b/>
          <w:color w:val="1F3864"/>
          <w:sz w:val="22"/>
        </w:rPr>
        <w:t>Flat — does NOT increase with users</w:t>
      </w:r>
    </w:p>
    <w:p>
      <w:pPr>
        <w:pStyle w:val="ListBullet"/>
        <w:spacing w:after="60"/>
      </w:pPr>
      <w:r>
        <w:rPr>
          <w:b/>
          <w:sz w:val="21"/>
        </w:rPr>
        <w:t>Redis, Container Registry, Service Bus, Notification Hubs, Key Vault.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fill="E6F4EC"/>
          </w:tcPr>
          <w:p>
            <w:r>
              <w:rPr>
                <w:b/>
                <w:color w:val="1E8E5A"/>
                <w:sz w:val="21"/>
              </w:rPr>
              <w:t>RULE OF THUMB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Each additional average active student adds ~$0.35/mo. The fixed ~$580/mo is shared across all of them, so blended per-user cost falls as you grow — the variable rate is the floor.</w:t>
            </w:r>
          </w:p>
        </w:tc>
      </w:tr>
    </w:tbl>
    <w:p>
      <w:pPr>
        <w:spacing w:after="40"/>
      </w:pPr>
    </w:p>
    <w:p>
      <w:r>
        <w:rPr>
          <w:b/>
          <w:color w:val="2E6FE0"/>
          <w:sz w:val="28"/>
        </w:rPr>
        <w:t xml:space="preserve">5  </w:t>
      </w:r>
      <w:r>
        <w:rPr>
          <w:b/>
          <w:color w:val="1F3864"/>
          <w:sz w:val="28"/>
        </w:rPr>
        <w:t>Cost Based on Each User's Actual Usage</w:t>
      </w:r>
    </w:p>
    <w:p>
      <w:pPr>
        <w:spacing w:after="120"/>
      </w:pPr>
      <w:r>
        <w:rPr>
          <w:i w:val="0"/>
          <w:color w:val="1A1F2B"/>
          <w:sz w:val="21"/>
        </w:rPr>
        <w:t>Once production telemetry is live, compute any individual user's cost from their real activity using these unit rates: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Unit cost</w:t>
            </w:r>
          </w:p>
        </w:tc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Per</w:t>
            </w:r>
          </w:p>
        </w:tc>
      </w:tr>
      <w:tr>
        <w:tc>
          <w:tcPr>
            <w:tcW w:type="dxa" w:w="475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Simple question generated (mini)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$0.0006</w:t>
            </w:r>
          </w:p>
        </w:tc>
        <w:tc>
          <w:tcPr>
            <w:tcW w:type="dxa" w:w="2592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each</w:t>
            </w:r>
          </w:p>
        </w:tc>
      </w:tr>
      <w:tr>
        <w:tc>
          <w:tcPr>
            <w:tcW w:type="dxa" w:w="475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Complex question generated (4o)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$0.0100</w:t>
            </w:r>
          </w:p>
        </w:tc>
        <w:tc>
          <w:tcPr>
            <w:tcW w:type="dxa" w:w="2592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each</w:t>
            </w:r>
          </w:p>
        </w:tc>
      </w:tr>
      <w:tr>
        <w:tc>
          <w:tcPr>
            <w:tcW w:type="dxa" w:w="475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Flashcard generated (mini)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$0.0004</w:t>
            </w:r>
          </w:p>
        </w:tc>
        <w:tc>
          <w:tcPr>
            <w:tcW w:type="dxa" w:w="2592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each</w:t>
            </w:r>
          </w:p>
        </w:tc>
      </w:tr>
      <w:tr>
        <w:tc>
          <w:tcPr>
            <w:tcW w:type="dxa" w:w="475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Content-safety moderation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$0.00075</w:t>
            </w:r>
          </w:p>
        </w:tc>
        <w:tc>
          <w:tcPr>
            <w:tcW w:type="dxa" w:w="2592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each</w:t>
            </w:r>
          </w:p>
        </w:tc>
      </w:tr>
      <w:tr>
        <w:tc>
          <w:tcPr>
            <w:tcW w:type="dxa" w:w="475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Cosmos read/write activity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$0.02</w:t>
            </w:r>
          </w:p>
        </w:tc>
        <w:tc>
          <w:tcPr>
            <w:tcW w:type="dxa" w:w="2592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/ user / mo</w:t>
            </w:r>
          </w:p>
        </w:tc>
      </w:tr>
    </w:tbl>
    <w:p>
      <w:pPr>
        <w:spacing w:after="120"/>
      </w:pPr>
    </w:p>
    <w:p>
      <w:r>
        <w:rPr>
          <w:b/>
          <w:color w:val="1F3864"/>
          <w:sz w:val="22"/>
        </w:rPr>
        <w:t>Formula</w:t>
      </w:r>
    </w:p>
    <w:p>
      <w:pPr>
        <w:spacing w:after="80"/>
      </w:pPr>
      <w:r>
        <w:rPr>
          <w:b/>
          <w:color w:val="1F3864"/>
          <w:sz w:val="20"/>
        </w:rPr>
        <w:t>user cost ≈  $0.0006×(simple Qs) + $0.010×(complex Qs) + $0.0004×(flashcards) + $0.00075×(moderations) + ~$0.02</w:t>
      </w:r>
    </w:p>
    <w:p>
      <w:pPr>
        <w:spacing w:after="80"/>
      </w:pPr>
      <w:r>
        <w:rPr>
          <w:i w:val="0"/>
          <w:color w:val="555F6E"/>
          <w:sz w:val="19"/>
        </w:rPr>
        <w:t>Example: a student generating 49 simple + 21 complex questions + 30 flashcards + 100 moderations ≈ $0.35/mo, matching the ~$0.35 average. A light user costs less; a power user more — the rates make it exact.</w:t>
      </w:r>
    </w:p>
    <w:p>
      <w:r>
        <w:br w:type="page"/>
      </w:r>
    </w:p>
    <w:p>
      <w:r>
        <w:rPr>
          <w:b/>
          <w:color w:val="2E6FE0"/>
          <w:sz w:val="28"/>
        </w:rPr>
        <w:t xml:space="preserve">6  </w:t>
      </w:r>
      <w:r>
        <w:rPr>
          <w:b/>
          <w:color w:val="1F3864"/>
          <w:sz w:val="28"/>
        </w:rPr>
        <w:t>Per-User Cost at Scale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92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per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MAU</w:t>
            </w:r>
          </w:p>
        </w:tc>
        <w:tc>
          <w:tcPr>
            <w:tcW w:type="dxa" w:w="1728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Fixed</w:t>
            </w:r>
          </w:p>
        </w:tc>
        <w:tc>
          <w:tcPr>
            <w:tcW w:type="dxa" w:w="1728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Variable</w:t>
            </w:r>
          </w:p>
        </w:tc>
        <w:tc>
          <w:tcPr>
            <w:tcW w:type="dxa" w:w="1872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Total/mo</w:t>
            </w:r>
          </w:p>
        </w:tc>
        <w:tc>
          <w:tcPr>
            <w:tcW w:type="dxa" w:w="1440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/ user</w:t>
            </w:r>
          </w:p>
        </w:tc>
      </w:tr>
      <w:tr>
        <w:tc>
          <w:tcPr>
            <w:tcW w:type="dxa" w:w="158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1,000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$580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$390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$970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$0.97</w:t>
            </w:r>
          </w:p>
        </w:tc>
      </w:tr>
      <w:tr>
        <w:tc>
          <w:tcPr>
            <w:tcW w:type="dxa" w:w="158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5,000</w:t>
            </w:r>
          </w:p>
        </w:tc>
        <w:tc>
          <w:tcPr>
            <w:tcW w:type="dxa" w:w="172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$580</w:t>
            </w:r>
          </w:p>
        </w:tc>
        <w:tc>
          <w:tcPr>
            <w:tcW w:type="dxa" w:w="172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$1,810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$2,390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$0.48</w:t>
            </w:r>
          </w:p>
        </w:tc>
      </w:tr>
      <w:tr>
        <w:tc>
          <w:tcPr>
            <w:tcW w:type="dxa" w:w="158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10,000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$600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$3,585</w:t>
            </w:r>
          </w:p>
        </w:tc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$4,185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$0.42</w:t>
            </w:r>
          </w:p>
        </w:tc>
      </w:tr>
      <w:tr>
        <w:tc>
          <w:tcPr>
            <w:tcW w:type="dxa" w:w="158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25,000</w:t>
            </w:r>
          </w:p>
        </w:tc>
        <w:tc>
          <w:tcPr>
            <w:tcW w:type="dxa" w:w="172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$650</w:t>
            </w:r>
          </w:p>
        </w:tc>
        <w:tc>
          <w:tcPr>
            <w:tcW w:type="dxa" w:w="172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$8,910</w:t>
            </w:r>
          </w:p>
        </w:tc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$9,560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$0.38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 w:val="0"/>
          <w:color w:val="1A1F2B"/>
          <w:sz w:val="21"/>
        </w:rPr>
        <w:t>Blended per-user cost falls from ~$0.98 at 1,000 students to ~$0.39 at 25,000, asymptoting to the ~$0.35 marginal floor as the fixed ~$580/mo amortizes across the base.</w:t>
      </w:r>
    </w:p>
    <w:p>
      <w:r>
        <w:rPr>
          <w:b/>
          <w:color w:val="2E6FE0"/>
          <w:sz w:val="28"/>
        </w:rPr>
        <w:t xml:space="preserve">7  </w:t>
      </w:r>
      <w:r>
        <w:rPr>
          <w:b/>
          <w:color w:val="1F3864"/>
          <w:sz w:val="28"/>
        </w:rPr>
        <w:t>Actions &amp; Assumptions</w:t>
      </w:r>
    </w:p>
    <w:p>
      <w:r>
        <w:rPr>
          <w:b/>
          <w:color w:val="1F3864"/>
          <w:sz w:val="22"/>
        </w:rPr>
        <w:t>Immediate cost actions</w:t>
      </w:r>
    </w:p>
    <w:p>
      <w:pPr>
        <w:pStyle w:val="ListBullet"/>
        <w:spacing w:after="60"/>
      </w:pPr>
      <w:r>
        <w:rPr>
          <w:b/>
          <w:sz w:val="21"/>
        </w:rPr>
        <w:t xml:space="preserve">Right-size Cosmos now. </w:t>
      </w:r>
      <w:r>
        <w:rPr>
          <w:b w:val="0"/>
          <w:sz w:val="21"/>
        </w:rPr>
        <w:t>Move per-tenant DBs to shared autoscale — recovers ~$540/mo at the current stage; the over-provisioned RU/s served no real demand.</w:t>
      </w:r>
    </w:p>
    <w:p>
      <w:pPr>
        <w:pStyle w:val="ListBullet"/>
        <w:spacing w:after="60"/>
      </w:pPr>
      <w:r>
        <w:rPr>
          <w:b/>
          <w:sz w:val="21"/>
        </w:rPr>
        <w:t xml:space="preserve">Confirm the blended routing. </w:t>
      </w:r>
      <w:r>
        <w:rPr>
          <w:b w:val="0"/>
          <w:sz w:val="21"/>
        </w:rPr>
        <w:t>Route simple item types to GPT-4o-mini in question_generation — the ~63% variable saving depends on it.</w:t>
      </w:r>
    </w:p>
    <w:p>
      <w:pPr>
        <w:pStyle w:val="ListBullet"/>
        <w:spacing w:after="60"/>
      </w:pPr>
      <w:r>
        <w:rPr>
          <w:b/>
          <w:sz w:val="21"/>
        </w:rPr>
        <w:t xml:space="preserve">Cache &amp; reuse questions. </w:t>
      </w:r>
      <w:r>
        <w:rPr>
          <w:b w:val="0"/>
          <w:sz w:val="21"/>
        </w:rPr>
        <w:t>Holding fresh-generation at ~25% (vs higher) is what keeps the variable rate at ~$0.36.</w:t>
      </w:r>
    </w:p>
    <w:p>
      <w:r>
        <w:rPr>
          <w:b/>
          <w:color w:val="1F3864"/>
          <w:sz w:val="22"/>
        </w:rPr>
        <w:t>Assumptions &amp; confidence</w:t>
      </w:r>
    </w:p>
    <w:p>
      <w:pPr>
        <w:pStyle w:val="ListBullet"/>
        <w:spacing w:after="60"/>
      </w:pPr>
      <w:r>
        <w:rPr>
          <w:b/>
          <w:sz w:val="21"/>
        </w:rPr>
        <w:t xml:space="preserve">Fixed cost: </w:t>
      </w:r>
      <w:r>
        <w:rPr>
          <w:b w:val="0"/>
          <w:sz w:val="21"/>
        </w:rPr>
        <w:t>HIGH confidence — calibrated to live dev actuals + public prod SKU pricing.</w:t>
      </w:r>
    </w:p>
    <w:p>
      <w:pPr>
        <w:pStyle w:val="ListBullet"/>
        <w:spacing w:after="60"/>
      </w:pPr>
      <w:r>
        <w:rPr>
          <w:b/>
          <w:sz w:val="21"/>
        </w:rPr>
        <w:t xml:space="preserve">Variable cost: </w:t>
      </w:r>
      <w:r>
        <w:rPr>
          <w:b w:val="0"/>
          <w:sz w:val="21"/>
        </w:rPr>
        <w:t>MEDIUM — depends on the ~70 fresh-gen/user and 70/30 simple/complex split; validate against real OpenAI metrics once live.</w:t>
      </w:r>
    </w:p>
    <w:p>
      <w:pPr>
        <w:pStyle w:val="ListBullet"/>
        <w:spacing w:after="60"/>
      </w:pPr>
      <w:r>
        <w:rPr>
          <w:b/>
          <w:sz w:val="21"/>
        </w:rPr>
        <w:t xml:space="preserve">Cosmos right-sized floor (~$60): </w:t>
      </w:r>
      <w:r>
        <w:rPr>
          <w:b w:val="0"/>
          <w:sz w:val="21"/>
        </w:rPr>
        <w:t>estimate for shared autoscale 100–1000 RU/s; confirm against actual RU consumption after migration.</w:t>
      </w:r>
    </w:p>
    <w:p>
      <w:pPr>
        <w:pStyle w:val="ListBullet"/>
        <w:spacing w:after="60"/>
      </w:pPr>
      <w:r>
        <w:rPr>
          <w:b/>
          <w:sz w:val="21"/>
        </w:rPr>
        <w:t xml:space="preserve">Excluded: </w:t>
      </w:r>
      <w:r>
        <w:rPr>
          <w:b w:val="0"/>
          <w:sz w:val="21"/>
        </w:rPr>
        <w:t>Azure AD B2C MAU billing, Firebase/FCM, egress (immaterial today), dev/staging duplication.</w:t>
      </w:r>
    </w:p>
    <w:p>
      <w:pPr>
        <w:spacing w:after="160"/>
      </w:pPr>
    </w:p>
    <w:p>
      <w:r>
        <w:rPr>
          <w:i/>
          <w:color w:val="555F6E"/>
          <w:sz w:val="17"/>
        </w:rPr>
        <w:t>Estimates use public pricing and confirmed product assumptions — not a quote. Fixed costs are validated against live Cost Management actuals; per-user variable is a model to be trued-up against production telemetry.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