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24622" w14:textId="25984B75" w:rsidR="0015382B" w:rsidRPr="00C87A0D" w:rsidRDefault="0015382B" w:rsidP="0016202A">
      <w:pPr>
        <w:jc w:val="center"/>
        <w:rPr>
          <w:b/>
          <w:bCs/>
          <w:sz w:val="32"/>
          <w:szCs w:val="28"/>
        </w:rPr>
      </w:pPr>
      <w:r w:rsidRPr="00C87A0D">
        <w:rPr>
          <w:b/>
          <w:bCs/>
          <w:sz w:val="32"/>
          <w:szCs w:val="28"/>
        </w:rPr>
        <w:t>Supplementary material</w:t>
      </w:r>
    </w:p>
    <w:p w14:paraId="6093F410" w14:textId="305D12ED" w:rsidR="001A002A" w:rsidRPr="00542817" w:rsidRDefault="00542817" w:rsidP="0016202A">
      <w:pPr>
        <w:rPr>
          <w:b/>
          <w:bCs/>
          <w:sz w:val="28"/>
          <w:szCs w:val="24"/>
        </w:rPr>
      </w:pPr>
      <w:r w:rsidRPr="00542817">
        <w:rPr>
          <w:b/>
          <w:bCs/>
          <w:sz w:val="28"/>
          <w:szCs w:val="24"/>
        </w:rPr>
        <w:t>DATA-GENERATION</w:t>
      </w:r>
    </w:p>
    <w:p w14:paraId="4ECA9751" w14:textId="77777777" w:rsidR="00C738C9" w:rsidRDefault="00C738C9" w:rsidP="0016202A">
      <w:pPr>
        <w:rPr>
          <w:rFonts w:eastAsia="Times New Roman" w:cstheme="majorBidi"/>
          <w:szCs w:val="24"/>
        </w:rPr>
      </w:pPr>
      <w:r w:rsidRPr="00C738C9">
        <w:rPr>
          <w:rFonts w:eastAsia="Times New Roman" w:cstheme="majorBidi"/>
          <w:szCs w:val="24"/>
        </w:rPr>
        <w:t xml:space="preserve">In this section, our aim is to create a family of unit-cells that can be generated through a parametric method, thereby allowing for a wide range of material properties while remaining amenable to manufacturing processes. Although a multitude of unit-cells have been produced after the dominance of additive manufacturing, </w:t>
      </w:r>
      <w:proofErr w:type="gramStart"/>
      <w:r w:rsidRPr="00C738C9">
        <w:rPr>
          <w:rFonts w:eastAsia="Times New Roman" w:cstheme="majorBidi"/>
          <w:szCs w:val="24"/>
        </w:rPr>
        <w:t>the majority of</w:t>
      </w:r>
      <w:proofErr w:type="gramEnd"/>
      <w:r w:rsidRPr="00C738C9">
        <w:rPr>
          <w:rFonts w:eastAsia="Times New Roman" w:cstheme="majorBidi"/>
          <w:szCs w:val="24"/>
        </w:rPr>
        <w:t xml:space="preserve"> them lack the capacity for parametrization, and even those that do possess such capacity have limited material properties. To tackle these challenges, we propose a method that produces a broad and diverse set of parameterized data, not limited to Cubic and orthotropic structures. To achieve this, we employ the approach outlined in [1], which entails generating parametric cubic structures and subsequently modifying them by applying rotations to both the created truss structures and their points. This procedure results in a broad range of material properties, which we elaborate on later in this section.</w:t>
      </w:r>
    </w:p>
    <w:p w14:paraId="0F7A0F5A" w14:textId="65D8F20C" w:rsidR="008A583D" w:rsidRPr="00542817" w:rsidRDefault="0016202A" w:rsidP="0016202A">
      <w:pPr>
        <w:rPr>
          <w:rFonts w:eastAsia="Times New Roman" w:cstheme="majorBidi"/>
          <w:b/>
          <w:bCs/>
          <w:sz w:val="48"/>
          <w:szCs w:val="48"/>
        </w:rPr>
      </w:pPr>
      <w:r w:rsidRPr="00542817">
        <w:rPr>
          <w:rFonts w:cstheme="majorBidi"/>
          <w:b/>
          <w:bCs/>
          <w:szCs w:val="24"/>
          <w:shd w:val="clear" w:color="auto" w:fill="FFFFFF"/>
        </w:rPr>
        <w:t>Cubic Structure Generation Method</w:t>
      </w:r>
    </w:p>
    <w:p w14:paraId="514F3282" w14:textId="16CE7A61" w:rsidR="00CD7239" w:rsidRDefault="005E3E4E" w:rsidP="00CD7239">
      <w:pPr>
        <w:keepNext/>
      </w:pPr>
      <w:r w:rsidRPr="005E3E4E">
        <w:rPr>
          <w:rFonts w:eastAsia="Times New Roman" w:cstheme="majorBidi"/>
          <w:szCs w:val="24"/>
        </w:rPr>
        <w:t xml:space="preserve">The establishment of a unit-cell's topological layout involves linking points within a cube with a set of edges </w:t>
      </w:r>
      <w:proofErr w:type="gramStart"/>
      <w:r w:rsidRPr="005E3E4E">
        <w:rPr>
          <w:rFonts w:eastAsia="Times New Roman" w:cstheme="majorBidi"/>
          <w:szCs w:val="24"/>
        </w:rPr>
        <w:t>in order to</w:t>
      </w:r>
      <w:proofErr w:type="gramEnd"/>
      <w:r w:rsidRPr="005E3E4E">
        <w:rPr>
          <w:rFonts w:eastAsia="Times New Roman" w:cstheme="majorBidi"/>
          <w:szCs w:val="24"/>
        </w:rPr>
        <w:t xml:space="preserve"> achieve the desired Cubic behavior. Based on the symmetries of the cube, nine planes of symmetry can be defined for any cubic material: three symmetry planes perpendicular to the primary cube axes and six planes perpendicular to the bisector of each pair of the primary three axes. By dividing a cube using these nine planes, it can be decomposed into 48 identical tetrahedrons, as illustrated in </w:t>
      </w:r>
      <w:r>
        <w:rPr>
          <w:rFonts w:eastAsia="Times New Roman" w:cstheme="majorBidi"/>
          <w:szCs w:val="24"/>
        </w:rPr>
        <w:fldChar w:fldCharType="begin"/>
      </w:r>
      <w:r>
        <w:rPr>
          <w:rFonts w:eastAsia="Times New Roman" w:cstheme="majorBidi"/>
          <w:szCs w:val="24"/>
        </w:rPr>
        <w:instrText xml:space="preserve"> REF _Ref132067301 \h </w:instrText>
      </w:r>
      <w:r>
        <w:rPr>
          <w:rFonts w:eastAsia="Times New Roman" w:cstheme="majorBidi"/>
          <w:szCs w:val="24"/>
        </w:rPr>
      </w:r>
      <w:r>
        <w:rPr>
          <w:rFonts w:eastAsia="Times New Roman" w:cstheme="majorBidi"/>
          <w:szCs w:val="24"/>
        </w:rPr>
        <w:fldChar w:fldCharType="separate"/>
      </w:r>
      <w:r>
        <w:t xml:space="preserve">Supplementary Fig </w:t>
      </w:r>
      <w:r>
        <w:rPr>
          <w:noProof/>
        </w:rPr>
        <w:t>1</w:t>
      </w:r>
      <w:r>
        <w:rPr>
          <w:rFonts w:eastAsia="Times New Roman" w:cstheme="majorBidi"/>
          <w:szCs w:val="24"/>
        </w:rPr>
        <w:fldChar w:fldCharType="end"/>
      </w:r>
      <w:r w:rsidRPr="005E3E4E">
        <w:rPr>
          <w:rFonts w:eastAsia="Times New Roman" w:cstheme="majorBidi"/>
          <w:szCs w:val="24"/>
        </w:rPr>
        <w:t>.</w:t>
      </w:r>
      <w:r w:rsidR="0016202A">
        <w:rPr>
          <w:rFonts w:eastAsia="Times New Roman" w:cstheme="majorBidi"/>
          <w:noProof/>
          <w:szCs w:val="24"/>
        </w:rPr>
        <w:drawing>
          <wp:inline distT="0" distB="0" distL="0" distR="0" wp14:anchorId="01BDBBFE" wp14:editId="36014192">
            <wp:extent cx="5943600" cy="2504440"/>
            <wp:effectExtent l="0" t="0" r="0" b="0"/>
            <wp:docPr id="1" name="Picture 1" descr="A picture containing dome,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ome, accessory&#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inline>
        </w:drawing>
      </w:r>
    </w:p>
    <w:p w14:paraId="465973DC" w14:textId="1802361D" w:rsidR="00CD7239" w:rsidRDefault="00CD7239" w:rsidP="00CD7239">
      <w:pPr>
        <w:pStyle w:val="Caption"/>
        <w:jc w:val="center"/>
      </w:pPr>
      <w:bookmarkStart w:id="0" w:name="_Ref132067301"/>
      <w:r>
        <w:t xml:space="preserve">Supplementary Fig </w:t>
      </w:r>
      <w:fldSimple w:instr=" SEQ Supplementary_Fig \* ARABIC ">
        <w:r w:rsidR="00EE3D9E">
          <w:rPr>
            <w:noProof/>
          </w:rPr>
          <w:t>1</w:t>
        </w:r>
      </w:fldSimple>
      <w:bookmarkEnd w:id="0"/>
      <w:r>
        <w:t xml:space="preserve">: </w:t>
      </w:r>
      <w:r w:rsidRPr="003C7229">
        <w:t>The tetrahedral cube breakdown used to generate cellular structures.</w:t>
      </w:r>
    </w:p>
    <w:p w14:paraId="44CB1A0F" w14:textId="3C4BF2CA" w:rsidR="00EC7338" w:rsidRDefault="005263FF" w:rsidP="005263FF">
      <w:pPr>
        <w:pStyle w:val="Caption"/>
        <w:keepNext/>
      </w:pPr>
      <w:r w:rsidRPr="005263FF">
        <w:rPr>
          <w:rFonts w:eastAsia="Times New Roman" w:cstheme="majorBidi"/>
          <w:szCs w:val="24"/>
        </w:rPr>
        <w:t xml:space="preserve">Upon examination of a single tetrahedron, it is possible to identify fifteen distinct nodes, as demonstrated in </w:t>
      </w:r>
      <w:r>
        <w:rPr>
          <w:rFonts w:eastAsia="Times New Roman" w:cstheme="majorBidi"/>
          <w:szCs w:val="24"/>
        </w:rPr>
        <w:fldChar w:fldCharType="begin"/>
      </w:r>
      <w:r>
        <w:rPr>
          <w:rFonts w:eastAsia="Times New Roman" w:cstheme="majorBidi"/>
          <w:szCs w:val="24"/>
        </w:rPr>
        <w:instrText xml:space="preserve"> REF _Ref132067900 \h </w:instrText>
      </w:r>
      <w:r>
        <w:rPr>
          <w:rFonts w:eastAsia="Times New Roman" w:cstheme="majorBidi"/>
          <w:szCs w:val="24"/>
        </w:rPr>
      </w:r>
      <w:r>
        <w:rPr>
          <w:rFonts w:eastAsia="Times New Roman" w:cstheme="majorBidi"/>
          <w:szCs w:val="24"/>
        </w:rPr>
        <w:fldChar w:fldCharType="separate"/>
      </w:r>
      <w:r>
        <w:t xml:space="preserve">Supplementary Fig </w:t>
      </w:r>
      <w:r>
        <w:rPr>
          <w:noProof/>
        </w:rPr>
        <w:t>2</w:t>
      </w:r>
      <w:r>
        <w:rPr>
          <w:rFonts w:eastAsia="Times New Roman" w:cstheme="majorBidi"/>
          <w:szCs w:val="24"/>
        </w:rPr>
        <w:fldChar w:fldCharType="end"/>
      </w:r>
      <w:r w:rsidRPr="005263FF">
        <w:rPr>
          <w:rFonts w:eastAsia="Times New Roman" w:cstheme="majorBidi"/>
          <w:szCs w:val="24"/>
        </w:rPr>
        <w:t>. These nodes include vertex nodes (v</w:t>
      </w:r>
      <w:r w:rsidRPr="005263FF">
        <w:rPr>
          <w:rFonts w:eastAsia="Times New Roman" w:cstheme="majorBidi"/>
          <w:szCs w:val="24"/>
          <w:vertAlign w:val="subscript"/>
        </w:rPr>
        <w:t>0</w:t>
      </w:r>
      <w:r w:rsidRPr="005263FF">
        <w:rPr>
          <w:rFonts w:eastAsia="Times New Roman" w:cstheme="majorBidi"/>
          <w:szCs w:val="24"/>
        </w:rPr>
        <w:t>, v</w:t>
      </w:r>
      <w:r w:rsidRPr="005263FF">
        <w:rPr>
          <w:rFonts w:eastAsia="Times New Roman" w:cstheme="majorBidi"/>
          <w:szCs w:val="24"/>
          <w:vertAlign w:val="subscript"/>
        </w:rPr>
        <w:t>1</w:t>
      </w:r>
      <w:r w:rsidRPr="005263FF">
        <w:rPr>
          <w:rFonts w:eastAsia="Times New Roman" w:cstheme="majorBidi"/>
          <w:szCs w:val="24"/>
        </w:rPr>
        <w:t>, v</w:t>
      </w:r>
      <w:r w:rsidRPr="005263FF">
        <w:rPr>
          <w:rFonts w:eastAsia="Times New Roman" w:cstheme="majorBidi"/>
          <w:szCs w:val="24"/>
          <w:vertAlign w:val="subscript"/>
        </w:rPr>
        <w:t>2</w:t>
      </w:r>
      <w:r w:rsidRPr="005263FF">
        <w:rPr>
          <w:rFonts w:eastAsia="Times New Roman" w:cstheme="majorBidi"/>
          <w:szCs w:val="24"/>
        </w:rPr>
        <w:t>, v</w:t>
      </w:r>
      <w:r w:rsidRPr="005263FF">
        <w:rPr>
          <w:rFonts w:eastAsia="Times New Roman" w:cstheme="majorBidi"/>
          <w:szCs w:val="24"/>
          <w:vertAlign w:val="subscript"/>
        </w:rPr>
        <w:t>3</w:t>
      </w:r>
      <w:r w:rsidRPr="005263FF">
        <w:rPr>
          <w:rFonts w:eastAsia="Times New Roman" w:cstheme="majorBidi"/>
          <w:szCs w:val="24"/>
        </w:rPr>
        <w:t>), which remain fixed in their respective locations within the tetrahedron, edge nodes (e</w:t>
      </w:r>
      <w:r w:rsidRPr="005263FF">
        <w:rPr>
          <w:rFonts w:eastAsia="Times New Roman" w:cstheme="majorBidi"/>
          <w:szCs w:val="24"/>
          <w:vertAlign w:val="subscript"/>
        </w:rPr>
        <w:t>0</w:t>
      </w:r>
      <w:r w:rsidRPr="005263FF">
        <w:rPr>
          <w:rFonts w:eastAsia="Times New Roman" w:cstheme="majorBidi"/>
          <w:szCs w:val="24"/>
        </w:rPr>
        <w:t>, e</w:t>
      </w:r>
      <w:r w:rsidRPr="005263FF">
        <w:rPr>
          <w:rFonts w:eastAsia="Times New Roman" w:cstheme="majorBidi"/>
          <w:szCs w:val="24"/>
          <w:vertAlign w:val="subscript"/>
        </w:rPr>
        <w:t>1</w:t>
      </w:r>
      <w:r w:rsidRPr="005263FF">
        <w:rPr>
          <w:rFonts w:eastAsia="Times New Roman" w:cstheme="majorBidi"/>
          <w:szCs w:val="24"/>
        </w:rPr>
        <w:t>, e</w:t>
      </w:r>
      <w:r w:rsidRPr="005263FF">
        <w:rPr>
          <w:rFonts w:eastAsia="Times New Roman" w:cstheme="majorBidi"/>
          <w:szCs w:val="24"/>
          <w:vertAlign w:val="subscript"/>
        </w:rPr>
        <w:t>2</w:t>
      </w:r>
      <w:r w:rsidRPr="005263FF">
        <w:rPr>
          <w:rFonts w:eastAsia="Times New Roman" w:cstheme="majorBidi"/>
          <w:szCs w:val="24"/>
        </w:rPr>
        <w:t>, e</w:t>
      </w:r>
      <w:r w:rsidRPr="005263FF">
        <w:rPr>
          <w:rFonts w:eastAsia="Times New Roman" w:cstheme="majorBidi"/>
          <w:szCs w:val="24"/>
          <w:vertAlign w:val="subscript"/>
        </w:rPr>
        <w:t>3</w:t>
      </w:r>
      <w:r w:rsidRPr="005263FF">
        <w:rPr>
          <w:rFonts w:eastAsia="Times New Roman" w:cstheme="majorBidi"/>
          <w:szCs w:val="24"/>
        </w:rPr>
        <w:t>, e</w:t>
      </w:r>
      <w:r w:rsidRPr="005263FF">
        <w:rPr>
          <w:rFonts w:eastAsia="Times New Roman" w:cstheme="majorBidi"/>
          <w:szCs w:val="24"/>
          <w:vertAlign w:val="subscript"/>
        </w:rPr>
        <w:t>4</w:t>
      </w:r>
      <w:r w:rsidRPr="005263FF">
        <w:rPr>
          <w:rFonts w:eastAsia="Times New Roman" w:cstheme="majorBidi"/>
          <w:szCs w:val="24"/>
        </w:rPr>
        <w:t>, e</w:t>
      </w:r>
      <w:r w:rsidRPr="005263FF">
        <w:rPr>
          <w:rFonts w:eastAsia="Times New Roman" w:cstheme="majorBidi"/>
          <w:szCs w:val="24"/>
          <w:vertAlign w:val="subscript"/>
        </w:rPr>
        <w:t>5</w:t>
      </w:r>
      <w:r w:rsidRPr="005263FF">
        <w:rPr>
          <w:rFonts w:eastAsia="Times New Roman" w:cstheme="majorBidi"/>
          <w:szCs w:val="24"/>
        </w:rPr>
        <w:t>), each of which is capable of moving along a specific edge, face nodes (f</w:t>
      </w:r>
      <w:r w:rsidRPr="005263FF">
        <w:rPr>
          <w:rFonts w:eastAsia="Times New Roman" w:cstheme="majorBidi"/>
          <w:szCs w:val="24"/>
          <w:vertAlign w:val="subscript"/>
        </w:rPr>
        <w:t>0</w:t>
      </w:r>
      <w:r w:rsidRPr="005263FF">
        <w:rPr>
          <w:rFonts w:eastAsia="Times New Roman" w:cstheme="majorBidi"/>
          <w:szCs w:val="24"/>
        </w:rPr>
        <w:t>, f</w:t>
      </w:r>
      <w:r w:rsidRPr="005263FF">
        <w:rPr>
          <w:rFonts w:eastAsia="Times New Roman" w:cstheme="majorBidi"/>
          <w:szCs w:val="24"/>
          <w:vertAlign w:val="subscript"/>
        </w:rPr>
        <w:t>1</w:t>
      </w:r>
      <w:r w:rsidRPr="005263FF">
        <w:rPr>
          <w:rFonts w:eastAsia="Times New Roman" w:cstheme="majorBidi"/>
          <w:szCs w:val="24"/>
        </w:rPr>
        <w:t>, f</w:t>
      </w:r>
      <w:r w:rsidRPr="005263FF">
        <w:rPr>
          <w:rFonts w:eastAsia="Times New Roman" w:cstheme="majorBidi"/>
          <w:szCs w:val="24"/>
          <w:vertAlign w:val="subscript"/>
        </w:rPr>
        <w:t>2</w:t>
      </w:r>
      <w:r w:rsidRPr="005263FF">
        <w:rPr>
          <w:rFonts w:eastAsia="Times New Roman" w:cstheme="majorBidi"/>
          <w:szCs w:val="24"/>
        </w:rPr>
        <w:t>, f</w:t>
      </w:r>
      <w:r w:rsidRPr="005263FF">
        <w:rPr>
          <w:rFonts w:eastAsia="Times New Roman" w:cstheme="majorBidi"/>
          <w:szCs w:val="24"/>
          <w:vertAlign w:val="subscript"/>
        </w:rPr>
        <w:t>3</w:t>
      </w:r>
      <w:r w:rsidRPr="005263FF">
        <w:rPr>
          <w:rFonts w:eastAsia="Times New Roman" w:cstheme="majorBidi"/>
          <w:szCs w:val="24"/>
        </w:rPr>
        <w:t>), which are capable of two-dimensional motion on a specific plane, and a single internal node (t</w:t>
      </w:r>
      <w:r w:rsidRPr="005263FF">
        <w:rPr>
          <w:rFonts w:eastAsia="Times New Roman" w:cstheme="majorBidi"/>
          <w:szCs w:val="24"/>
          <w:vertAlign w:val="subscript"/>
        </w:rPr>
        <w:t>0</w:t>
      </w:r>
      <w:r w:rsidRPr="005263FF">
        <w:rPr>
          <w:rFonts w:eastAsia="Times New Roman" w:cstheme="majorBidi"/>
          <w:szCs w:val="24"/>
        </w:rPr>
        <w:t xml:space="preserve">), which can </w:t>
      </w:r>
      <w:r w:rsidRPr="005263FF">
        <w:rPr>
          <w:rFonts w:eastAsia="Times New Roman" w:cstheme="majorBidi"/>
          <w:szCs w:val="24"/>
        </w:rPr>
        <w:lastRenderedPageBreak/>
        <w:t>occupy any position within the tetrahedron. By varying the connections between these nodes and applying reflection along the nine symmetric planes previously mentioned, a vast number of unit-cell configurations can be generated. Moreover, it is noteworthy that these tetrahedrons possess symmetry, thereby causing the resulting cellular material to exhibit cubic symmetric behavior.</w:t>
      </w:r>
      <w:r w:rsidR="00EC7338">
        <w:rPr>
          <w:rFonts w:eastAsia="Times New Roman" w:cstheme="majorBidi"/>
          <w:noProof/>
          <w:szCs w:val="24"/>
        </w:rPr>
        <w:drawing>
          <wp:inline distT="0" distB="0" distL="0" distR="0" wp14:anchorId="55B10670" wp14:editId="3FAEB488">
            <wp:extent cx="5943600" cy="354173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3541734"/>
                    </a:xfrm>
                    <a:prstGeom prst="rect">
                      <a:avLst/>
                    </a:prstGeom>
                  </pic:spPr>
                </pic:pic>
              </a:graphicData>
            </a:graphic>
          </wp:inline>
        </w:drawing>
      </w:r>
    </w:p>
    <w:p w14:paraId="11AE922C" w14:textId="223AF78B" w:rsidR="00EC7338" w:rsidRDefault="00EC7338" w:rsidP="00EC7338">
      <w:pPr>
        <w:pStyle w:val="Caption"/>
        <w:jc w:val="center"/>
        <w:rPr>
          <w:rFonts w:eastAsia="Times New Roman" w:cstheme="majorBidi"/>
          <w:szCs w:val="24"/>
        </w:rPr>
      </w:pPr>
      <w:bookmarkStart w:id="1" w:name="_Ref132067900"/>
      <w:r>
        <w:t xml:space="preserve">Supplementary Fig </w:t>
      </w:r>
      <w:fldSimple w:instr=" SEQ Supplementary_Fig \* ARABIC ">
        <w:r w:rsidR="00EE3D9E">
          <w:rPr>
            <w:noProof/>
          </w:rPr>
          <w:t>2</w:t>
        </w:r>
      </w:fldSimple>
      <w:bookmarkEnd w:id="1"/>
      <w:r>
        <w:t xml:space="preserve">: </w:t>
      </w:r>
      <w:r w:rsidRPr="00673EB3">
        <w:t>The node of a single tetrahedron, and the motion space of each of the nodes.</w:t>
      </w:r>
    </w:p>
    <w:p w14:paraId="502CB7FA" w14:textId="02647EF3" w:rsidR="005263FF" w:rsidRDefault="005263FF" w:rsidP="005263FF">
      <w:pPr>
        <w:pStyle w:val="Caption"/>
        <w:rPr>
          <w:rFonts w:eastAsia="Times New Roman" w:cstheme="majorBidi"/>
          <w:szCs w:val="24"/>
        </w:rPr>
      </w:pPr>
      <w:r w:rsidRPr="005263FF">
        <w:rPr>
          <w:rFonts w:eastAsia="Times New Roman" w:cstheme="majorBidi"/>
          <w:szCs w:val="24"/>
        </w:rPr>
        <w:t>The theoretical number of possible truss unit-cell configurations is extensive, with a potential upper limit of 1032. Nonetheless, a considerable proportion of these configurations may prove unviable for practical manufacturing purposes due to excessive complexity. Consequently, during the data generation phase, specific constraints were enforced to restrict the scope of the investigated structures. These constraints encompassed the following aspects:</w:t>
      </w:r>
    </w:p>
    <w:p w14:paraId="577ACD7F" w14:textId="6C9BACAF" w:rsidR="0077578A" w:rsidRDefault="0077578A" w:rsidP="0077578A">
      <w:pPr>
        <w:pStyle w:val="ListParagraph"/>
        <w:numPr>
          <w:ilvl w:val="0"/>
          <w:numId w:val="3"/>
        </w:numPr>
      </w:pPr>
      <w:r>
        <w:t>To ensure practical manufacturability, a constraint is imposed during data generation based on the use of stereolithography printers. This constraint requires that every node used in constructing the unit-cell possess a valence greater than one after reflection along symmetry axes, guaranteeing both connectivity and printability.</w:t>
      </w:r>
    </w:p>
    <w:p w14:paraId="675A9B0A" w14:textId="77777777" w:rsidR="0077578A" w:rsidRDefault="0077578A" w:rsidP="0077578A">
      <w:pPr>
        <w:pStyle w:val="ListParagraph"/>
        <w:numPr>
          <w:ilvl w:val="0"/>
          <w:numId w:val="3"/>
        </w:numPr>
      </w:pPr>
      <w:r>
        <w:t>Two additional constraints are enforced to limit the complexity of the unit-cell configurations. The first constraint limits the valence to a maximum of seven, while the second constraint imposes a maximum of three edges per tetrahedron.</w:t>
      </w:r>
    </w:p>
    <w:p w14:paraId="6466E2A1" w14:textId="39832691" w:rsidR="0077578A" w:rsidRPr="0077578A" w:rsidRDefault="0077578A" w:rsidP="0077578A">
      <w:pPr>
        <w:pStyle w:val="ListParagraph"/>
        <w:numPr>
          <w:ilvl w:val="0"/>
          <w:numId w:val="3"/>
        </w:numPr>
      </w:pPr>
      <w:r>
        <w:t xml:space="preserve">A further constraint was implemented to eliminate overlapping edges within the collection of edges. Specifically, when selecting an edge, </w:t>
      </w:r>
      <w:r w:rsidRPr="00EC7338">
        <w:rPr>
          <w:rFonts w:eastAsia="Times New Roman" w:cstheme="majorBidi"/>
          <w:szCs w:val="24"/>
        </w:rPr>
        <w:t>such as (v</w:t>
      </w:r>
      <w:r w:rsidRPr="00AF1343">
        <w:rPr>
          <w:rFonts w:eastAsia="Times New Roman" w:cstheme="majorBidi"/>
          <w:szCs w:val="24"/>
          <w:vertAlign w:val="subscript"/>
        </w:rPr>
        <w:t>2</w:t>
      </w:r>
      <w:r w:rsidRPr="00EC7338">
        <w:rPr>
          <w:rFonts w:eastAsia="Times New Roman" w:cstheme="majorBidi"/>
          <w:szCs w:val="24"/>
        </w:rPr>
        <w:t>, v</w:t>
      </w:r>
      <w:r w:rsidRPr="00AF1343">
        <w:rPr>
          <w:rFonts w:eastAsia="Times New Roman" w:cstheme="majorBidi"/>
          <w:szCs w:val="24"/>
          <w:vertAlign w:val="subscript"/>
        </w:rPr>
        <w:t>3</w:t>
      </w:r>
      <w:r w:rsidRPr="00EC7338">
        <w:rPr>
          <w:rFonts w:eastAsia="Times New Roman" w:cstheme="majorBidi"/>
          <w:szCs w:val="24"/>
        </w:rPr>
        <w:t xml:space="preserve">), </w:t>
      </w:r>
      <w:r>
        <w:t>any smaller edges contained within it</w:t>
      </w:r>
      <w:r w:rsidRPr="00EC7338">
        <w:rPr>
          <w:rFonts w:eastAsia="Times New Roman" w:cstheme="majorBidi"/>
          <w:szCs w:val="24"/>
        </w:rPr>
        <w:t xml:space="preserve">, </w:t>
      </w:r>
      <w:r>
        <w:rPr>
          <w:rFonts w:eastAsia="Times New Roman" w:cstheme="majorBidi"/>
          <w:szCs w:val="24"/>
        </w:rPr>
        <w:t>such as</w:t>
      </w:r>
      <w:r w:rsidRPr="00EC7338">
        <w:rPr>
          <w:rFonts w:eastAsia="Times New Roman" w:cstheme="majorBidi"/>
          <w:szCs w:val="24"/>
        </w:rPr>
        <w:t xml:space="preserve"> (v</w:t>
      </w:r>
      <w:r w:rsidRPr="00AF1343">
        <w:rPr>
          <w:rFonts w:eastAsia="Times New Roman" w:cstheme="majorBidi"/>
          <w:szCs w:val="24"/>
          <w:vertAlign w:val="subscript"/>
        </w:rPr>
        <w:t>2</w:t>
      </w:r>
      <w:r w:rsidRPr="00EC7338">
        <w:rPr>
          <w:rFonts w:eastAsia="Times New Roman" w:cstheme="majorBidi"/>
          <w:szCs w:val="24"/>
        </w:rPr>
        <w:t>, e</w:t>
      </w:r>
      <w:r w:rsidRPr="00AF1343">
        <w:rPr>
          <w:rFonts w:eastAsia="Times New Roman" w:cstheme="majorBidi"/>
          <w:szCs w:val="24"/>
          <w:vertAlign w:val="subscript"/>
        </w:rPr>
        <w:t>2</w:t>
      </w:r>
      <w:r w:rsidRPr="00EC7338">
        <w:rPr>
          <w:rFonts w:eastAsia="Times New Roman" w:cstheme="majorBidi"/>
          <w:szCs w:val="24"/>
        </w:rPr>
        <w:t>) and (e</w:t>
      </w:r>
      <w:r w:rsidRPr="00AF1343">
        <w:rPr>
          <w:rFonts w:eastAsia="Times New Roman" w:cstheme="majorBidi"/>
          <w:szCs w:val="24"/>
          <w:vertAlign w:val="subscript"/>
        </w:rPr>
        <w:t>2</w:t>
      </w:r>
      <w:r w:rsidRPr="00EC7338">
        <w:rPr>
          <w:rFonts w:eastAsia="Times New Roman" w:cstheme="majorBidi"/>
          <w:szCs w:val="24"/>
        </w:rPr>
        <w:t>, v</w:t>
      </w:r>
      <w:r w:rsidRPr="00AF1343">
        <w:rPr>
          <w:rFonts w:eastAsia="Times New Roman" w:cstheme="majorBidi"/>
          <w:szCs w:val="24"/>
          <w:vertAlign w:val="subscript"/>
        </w:rPr>
        <w:t>3</w:t>
      </w:r>
      <w:r w:rsidR="00AF1343" w:rsidRPr="00EC7338">
        <w:rPr>
          <w:rFonts w:eastAsia="Times New Roman" w:cstheme="majorBidi"/>
          <w:szCs w:val="24"/>
        </w:rPr>
        <w:t xml:space="preserve">), </w:t>
      </w:r>
      <w:proofErr w:type="gramStart"/>
      <w:r w:rsidR="00AF1343">
        <w:t>have</w:t>
      </w:r>
      <w:r>
        <w:t xml:space="preserve"> to</w:t>
      </w:r>
      <w:proofErr w:type="gramEnd"/>
      <w:r>
        <w:t xml:space="preserve"> be excluded from the collection if they overlapped with the first edge, regardless of the offset.</w:t>
      </w:r>
    </w:p>
    <w:p w14:paraId="0FB83E0A" w14:textId="504A2327" w:rsidR="00AF1343" w:rsidRDefault="00AF1343" w:rsidP="00AF1343">
      <w:r>
        <w:lastRenderedPageBreak/>
        <w:t xml:space="preserve">To ensure adherence to the </w:t>
      </w:r>
      <w:proofErr w:type="gramStart"/>
      <w:r>
        <w:t>aforementioned constraints</w:t>
      </w:r>
      <w:proofErr w:type="gramEnd"/>
      <w:r>
        <w:t>, we adopted a specific node selection order for constructing each tetrahedron within the unit-cell configuration. This order follows the sequence (v</w:t>
      </w:r>
      <w:r w:rsidRPr="00AF1343">
        <w:rPr>
          <w:vertAlign w:val="subscript"/>
        </w:rPr>
        <w:t>i</w:t>
      </w:r>
      <w:r>
        <w:t>, f</w:t>
      </w:r>
      <w:r w:rsidRPr="00AF1343">
        <w:rPr>
          <w:vertAlign w:val="subscript"/>
        </w:rPr>
        <w:t>j</w:t>
      </w:r>
      <w:r>
        <w:t>, e</w:t>
      </w:r>
      <w:r w:rsidRPr="00AF1343">
        <w:rPr>
          <w:vertAlign w:val="subscript"/>
        </w:rPr>
        <w:t>k</w:t>
      </w:r>
      <w:r>
        <w:t>, e</w:t>
      </w:r>
      <w:r w:rsidRPr="00AF1343">
        <w:rPr>
          <w:vertAlign w:val="subscript"/>
        </w:rPr>
        <w:t>l</w:t>
      </w:r>
      <w:r>
        <w:t xml:space="preserve">), where i ranges from 0 to 3, j ranges from 0 to 3, and both k and l range from 0 to 5. In cases where k and l are the same, this indicates that the tetrahedron comprises only two edges. It is important to note that solely utilizing this ordering is insufficient for meeting all constraints; we also enforced these constraints during the coding process. The range of possibilities for various configurations was examined based on the base material Phrozen Onyx Impact Plus, with a Young's modulus of 1.175 GPa, Poisson's ratio of 0.35, and a mass density of 1.15 g/cm3, as well as a truss diameter of 0.05. </w:t>
      </w:r>
      <w:r>
        <w:fldChar w:fldCharType="begin"/>
      </w:r>
      <w:r>
        <w:instrText xml:space="preserve"> REF _Ref132074012 \h </w:instrText>
      </w:r>
      <w:r>
        <w:fldChar w:fldCharType="separate"/>
      </w:r>
      <w:r>
        <w:t xml:space="preserve">Supplementary Fig </w:t>
      </w:r>
      <w:r>
        <w:rPr>
          <w:noProof/>
        </w:rPr>
        <w:t>3</w:t>
      </w:r>
      <w:r>
        <w:fldChar w:fldCharType="end"/>
      </w:r>
      <w:r>
        <w:t xml:space="preserve">illustrates this spectrum, encompassing a total of 528 unique configurations that were generated through the application of the </w:t>
      </w:r>
      <w:proofErr w:type="gramStart"/>
      <w:r>
        <w:t>aforementioned constraints</w:t>
      </w:r>
      <w:proofErr w:type="gramEnd"/>
      <w:r>
        <w:t>.</w:t>
      </w:r>
    </w:p>
    <w:p w14:paraId="7AEF4CB7" w14:textId="77777777" w:rsidR="00AF1343" w:rsidRDefault="00AF1343" w:rsidP="00AF1343">
      <w:pPr>
        <w:keepNext/>
        <w:jc w:val="center"/>
      </w:pPr>
      <w:r>
        <w:rPr>
          <w:noProof/>
        </w:rPr>
        <w:drawing>
          <wp:inline distT="0" distB="0" distL="0" distR="0" wp14:anchorId="2E8B9A21" wp14:editId="074B733F">
            <wp:extent cx="3608131" cy="270764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16131" cy="2713644"/>
                    </a:xfrm>
                    <a:prstGeom prst="rect">
                      <a:avLst/>
                    </a:prstGeom>
                  </pic:spPr>
                </pic:pic>
              </a:graphicData>
            </a:graphic>
          </wp:inline>
        </w:drawing>
      </w:r>
    </w:p>
    <w:p w14:paraId="2A17BA66" w14:textId="2F8F37BD" w:rsidR="00AF1343" w:rsidRDefault="00AF1343" w:rsidP="00AF1343">
      <w:pPr>
        <w:pStyle w:val="Caption"/>
        <w:jc w:val="center"/>
      </w:pPr>
      <w:bookmarkStart w:id="2" w:name="_Ref132074012"/>
      <w:r>
        <w:t xml:space="preserve">Supplementary Fig </w:t>
      </w:r>
      <w:fldSimple w:instr=" SEQ Supplementary_Fig \* ARABIC ">
        <w:r w:rsidR="00EE3D9E">
          <w:rPr>
            <w:noProof/>
          </w:rPr>
          <w:t>3</w:t>
        </w:r>
      </w:fldSimple>
      <w:bookmarkEnd w:id="2"/>
      <w:r>
        <w:t xml:space="preserve">: Space of Bulk mechanical properties established from the property search using the </w:t>
      </w:r>
      <w:r w:rsidRPr="00AF1343">
        <w:t>48 tetrahedrons reflection method.</w:t>
      </w:r>
    </w:p>
    <w:p w14:paraId="5ED033B0" w14:textId="403F3AA1" w:rsidR="00965954" w:rsidRDefault="001C1FE0" w:rsidP="00965954">
      <w:r w:rsidRPr="001C1FE0">
        <w:t>After narrowing down the configurations based on the applied constraints, the subsequent step involves selecting a single unit-cell from those configurations. This selection process should be based on the mechanical properties of the bulk material. The underlying concept behind our approach to selecting a single configuration is to identify a structure that exhibits auxetic behavior among the various topology configurations depicted in Supplementary Figure 3. By modifying the diameter and the offsets of the chosen unit-cell, we can also obtain structures with non-auxetic behavior.</w:t>
      </w:r>
      <w:r>
        <w:t xml:space="preserve"> </w:t>
      </w:r>
      <w:r w:rsidRPr="001C1FE0">
        <w:t xml:space="preserve">Our chosen unit-cell, which serves as the foundation for our parametrization method, is displayed in </w:t>
      </w:r>
      <w:r>
        <w:t>Fig1</w:t>
      </w:r>
      <w:r w:rsidRPr="001C1FE0">
        <w:t>. This unit-cell has a Young's Modulus of 1.234 MPa and a Bulk Poisson's ratio of -0.315. It comprises only two edges in each tetrahedron, connecting the v</w:t>
      </w:r>
      <w:r w:rsidRPr="001C1FE0">
        <w:rPr>
          <w:vertAlign w:val="subscript"/>
        </w:rPr>
        <w:t>0</w:t>
      </w:r>
      <w:r w:rsidRPr="001C1FE0">
        <w:t>, f</w:t>
      </w:r>
      <w:r w:rsidRPr="001C1FE0">
        <w:rPr>
          <w:vertAlign w:val="subscript"/>
        </w:rPr>
        <w:t>3</w:t>
      </w:r>
      <w:r w:rsidRPr="001C1FE0">
        <w:t>, and e</w:t>
      </w:r>
      <w:r w:rsidRPr="001C1FE0">
        <w:rPr>
          <w:vertAlign w:val="subscript"/>
        </w:rPr>
        <w:t>2</w:t>
      </w:r>
      <w:r w:rsidRPr="001C1FE0">
        <w:t xml:space="preserve"> nodes, with a truss diameter of 0.05. The next phase in generating our cubic structures entails sweeping the offsets of the selected unit-cell's nodes and the thickness of its edges across their ranges. We consider these modifications as the initial set of parameters in our parametrization method. Within the tetrahedron, one of the chosen nodes used in constructing the unit-cell, node v</w:t>
      </w:r>
      <w:r w:rsidRPr="001C1FE0">
        <w:rPr>
          <w:vertAlign w:val="subscript"/>
        </w:rPr>
        <w:t>0</w:t>
      </w:r>
      <w:r w:rsidRPr="001C1FE0">
        <w:t>, is fixed. Nevertheless, the node e</w:t>
      </w:r>
      <w:r w:rsidRPr="001C1FE0">
        <w:rPr>
          <w:vertAlign w:val="subscript"/>
        </w:rPr>
        <w:t>2</w:t>
      </w:r>
      <w:r w:rsidRPr="001C1FE0">
        <w:t xml:space="preserve"> can be positioned at any </w:t>
      </w:r>
      <w:r w:rsidRPr="001C1FE0">
        <w:lastRenderedPageBreak/>
        <w:t>location along edge 2, which connects vertices v</w:t>
      </w:r>
      <w:r w:rsidRPr="001C1FE0">
        <w:rPr>
          <w:vertAlign w:val="subscript"/>
        </w:rPr>
        <w:t>2</w:t>
      </w:r>
      <w:r w:rsidRPr="001C1FE0">
        <w:t xml:space="preserve"> and v</w:t>
      </w:r>
      <w:r w:rsidRPr="001C1FE0">
        <w:rPr>
          <w:vertAlign w:val="subscript"/>
        </w:rPr>
        <w:t>3</w:t>
      </w:r>
      <w:r w:rsidRPr="001C1FE0">
        <w:t xml:space="preserve">. The offset for this node is determined by a single parameter, </w:t>
      </w:r>
      <w:r w:rsidRPr="001C1FE0">
        <w:rPr>
          <w:i/>
          <w:iCs/>
        </w:rPr>
        <w:t>w</w:t>
      </w:r>
      <w:r w:rsidRPr="001C1FE0">
        <w:rPr>
          <w:vertAlign w:val="subscript"/>
        </w:rPr>
        <w:t>2</w:t>
      </w:r>
      <w:r w:rsidRPr="001C1FE0">
        <w:t>, as presented in Eq</w:t>
      </w:r>
      <w:r w:rsidR="009515F3">
        <w:t xml:space="preserve"> </w:t>
      </w:r>
      <w:r w:rsidR="0002537A">
        <w:t>S</w:t>
      </w:r>
      <w:r w:rsidR="009515F3">
        <w:t>1</w:t>
      </w:r>
      <w:r w:rsidRPr="001C1FE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9515F3" w14:paraId="777DA50D" w14:textId="77777777" w:rsidTr="009515F3">
        <w:tc>
          <w:tcPr>
            <w:tcW w:w="8455" w:type="dxa"/>
          </w:tcPr>
          <w:p w14:paraId="4F71AFD4" w14:textId="57764C68" w:rsidR="009515F3" w:rsidRDefault="00000000" w:rsidP="009515F3">
            <w:pPr>
              <w:jc w:val="center"/>
            </w:pPr>
            <m:oMath>
              <m:sSub>
                <m:sSubPr>
                  <m:ctrlPr>
                    <w:rPr>
                      <w:rFonts w:ascii="Cambria Math" w:hAnsi="Cambria Math"/>
                      <w:iCs/>
                    </w:rPr>
                  </m:ctrlPr>
                </m:sSubPr>
                <m:e>
                  <m:r>
                    <m:rPr>
                      <m:sty m:val="p"/>
                    </m:rPr>
                    <w:rPr>
                      <w:rFonts w:ascii="Cambria Math" w:hAnsi="Cambria Math"/>
                    </w:rPr>
                    <m:t>e</m:t>
                  </m:r>
                </m:e>
                <m:sub>
                  <m:r>
                    <m:rPr>
                      <m:sty m:val="p"/>
                    </m:rP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2</m:t>
                      </m:r>
                    </m:sub>
                  </m:sSub>
                </m:e>
              </m:d>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3</m:t>
                  </m:r>
                </m:sub>
              </m:sSub>
            </m:oMath>
            <w:r w:rsidR="009515F3">
              <w:rPr>
                <w:rFonts w:eastAsiaTheme="minorEastAsia"/>
                <w:iCs/>
              </w:rPr>
              <w:t xml:space="preserve">  </w:t>
            </w:r>
          </w:p>
        </w:tc>
        <w:tc>
          <w:tcPr>
            <w:tcW w:w="895" w:type="dxa"/>
          </w:tcPr>
          <w:p w14:paraId="577325CA" w14:textId="54B91B8A" w:rsidR="009515F3" w:rsidRDefault="009515F3" w:rsidP="009515F3">
            <w:pPr>
              <w:jc w:val="center"/>
            </w:pPr>
            <w:r>
              <w:t>(</w:t>
            </w:r>
            <w:r w:rsidR="0002537A">
              <w:t>S</w:t>
            </w:r>
            <w:r>
              <w:t>1)</w:t>
            </w:r>
          </w:p>
        </w:tc>
      </w:tr>
      <w:tr w:rsidR="009515F3" w14:paraId="170A1B1F" w14:textId="77777777" w:rsidTr="009515F3">
        <w:tc>
          <w:tcPr>
            <w:tcW w:w="8455" w:type="dxa"/>
          </w:tcPr>
          <w:p w14:paraId="1BD8AF96" w14:textId="77777777" w:rsidR="009515F3" w:rsidRPr="00965954" w:rsidRDefault="009515F3" w:rsidP="009515F3">
            <w:pPr>
              <w:rPr>
                <w:rFonts w:ascii="Times New Roman" w:eastAsia="Calibri" w:hAnsi="Times New Roman" w:cs="Arial"/>
                <w:iCs/>
              </w:rPr>
            </w:pPr>
          </w:p>
        </w:tc>
        <w:tc>
          <w:tcPr>
            <w:tcW w:w="895" w:type="dxa"/>
          </w:tcPr>
          <w:p w14:paraId="62D4C157" w14:textId="77777777" w:rsidR="009515F3" w:rsidRDefault="009515F3" w:rsidP="009515F3">
            <w:pPr>
              <w:jc w:val="center"/>
            </w:pPr>
          </w:p>
        </w:tc>
      </w:tr>
    </w:tbl>
    <w:p w14:paraId="1C240562" w14:textId="016CA694" w:rsidR="001C1FE0" w:rsidRDefault="001C46D8" w:rsidP="009515F3">
      <w:r w:rsidRPr="001C46D8">
        <w:t>The placement of the third node, denoted as f</w:t>
      </w:r>
      <w:r w:rsidRPr="001C46D8">
        <w:rPr>
          <w:vertAlign w:val="subscript"/>
        </w:rPr>
        <w:t>3</w:t>
      </w:r>
      <w:r w:rsidRPr="001C46D8">
        <w:t>, is flexible on face 3, which is defined as a</w:t>
      </w:r>
      <w:r>
        <w:t xml:space="preserve"> plane </w:t>
      </w:r>
      <w:r w:rsidRPr="001C46D8">
        <w:t>surface constructed by the vertices v</w:t>
      </w:r>
      <w:r w:rsidRPr="001C46D8">
        <w:rPr>
          <w:vertAlign w:val="subscript"/>
        </w:rPr>
        <w:t>0</w:t>
      </w:r>
      <w:r w:rsidRPr="001C46D8">
        <w:t>, v</w:t>
      </w:r>
      <w:r w:rsidRPr="001C46D8">
        <w:rPr>
          <w:vertAlign w:val="subscript"/>
        </w:rPr>
        <w:t>2</w:t>
      </w:r>
      <w:r w:rsidRPr="001C46D8">
        <w:t>, and v</w:t>
      </w:r>
      <w:r w:rsidRPr="001C46D8">
        <w:rPr>
          <w:vertAlign w:val="subscript"/>
        </w:rPr>
        <w:t>3</w:t>
      </w:r>
      <w:r w:rsidRPr="001C46D8">
        <w:t>. The computation of the coordinates of f</w:t>
      </w:r>
      <w:r w:rsidRPr="001C46D8">
        <w:rPr>
          <w:vertAlign w:val="subscript"/>
        </w:rPr>
        <w:t>3</w:t>
      </w:r>
      <w:r w:rsidRPr="001C46D8">
        <w:t xml:space="preserve"> is established through barycentric coordinates, as presented in Eq </w:t>
      </w:r>
      <w:r w:rsidR="0002537A">
        <w:t>S</w:t>
      </w:r>
      <w:r w:rsidRPr="001C46D8">
        <w:t>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AF230F" w14:paraId="3F92AD07" w14:textId="77777777" w:rsidTr="00AF230F">
        <w:tc>
          <w:tcPr>
            <w:tcW w:w="8455" w:type="dxa"/>
          </w:tcPr>
          <w:p w14:paraId="245AD61D" w14:textId="71211920" w:rsidR="00AF230F" w:rsidRDefault="00000000" w:rsidP="00AF230F">
            <m:oMathPara>
              <m:oMath>
                <m:sSub>
                  <m:sSubPr>
                    <m:ctrlPr>
                      <w:rPr>
                        <w:rFonts w:ascii="Cambria Math" w:hAnsi="Cambria Math"/>
                        <w:i/>
                      </w:rPr>
                    </m:ctrlPr>
                  </m:sSubPr>
                  <m:e>
                    <m:r>
                      <m:rPr>
                        <m:sty m:val="p"/>
                      </m:rPr>
                      <w:rPr>
                        <w:rFonts w:ascii="Cambria Math" w:hAnsi="Cambria Math"/>
                      </w:rPr>
                      <m:t>f</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31</m:t>
                    </m:r>
                  </m:sub>
                </m:sSub>
                <m:sSub>
                  <m:sSubPr>
                    <m:ctrlPr>
                      <w:rPr>
                        <w:rFonts w:ascii="Cambria Math" w:hAnsi="Cambria Math"/>
                        <w:i/>
                      </w:rPr>
                    </m:ctrlPr>
                  </m:sSubPr>
                  <m:e>
                    <m:r>
                      <m:rPr>
                        <m:sty m:val="p"/>
                      </m:rPr>
                      <w:rPr>
                        <w:rFonts w:ascii="Cambria Math" w:hAnsi="Cambria Math"/>
                      </w:rPr>
                      <m:t>v</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32</m:t>
                    </m:r>
                  </m:sub>
                </m:sSub>
                <m:sSub>
                  <m:sSubPr>
                    <m:ctrlPr>
                      <w:rPr>
                        <w:rFonts w:ascii="Cambria Math" w:hAnsi="Cambria Math"/>
                        <w:i/>
                      </w:rPr>
                    </m:ctrlPr>
                  </m:sSubPr>
                  <m:e>
                    <m:r>
                      <m:rPr>
                        <m:sty m:val="p"/>
                      </m:rP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33</m:t>
                    </m:r>
                  </m:sub>
                </m:sSub>
                <m:sSub>
                  <m:sSubPr>
                    <m:ctrlPr>
                      <w:rPr>
                        <w:rFonts w:ascii="Cambria Math" w:hAnsi="Cambria Math"/>
                        <w:i/>
                      </w:rPr>
                    </m:ctrlPr>
                  </m:sSubPr>
                  <m:e>
                    <m:r>
                      <m:rPr>
                        <m:sty m:val="p"/>
                      </m:rPr>
                      <w:rPr>
                        <w:rFonts w:ascii="Cambria Math" w:hAnsi="Cambria Math"/>
                      </w:rPr>
                      <m:t>v</m:t>
                    </m:r>
                  </m:e>
                  <m:sub>
                    <m:r>
                      <w:rPr>
                        <w:rFonts w:ascii="Cambria Math" w:hAnsi="Cambria Math"/>
                      </w:rPr>
                      <m:t>3</m:t>
                    </m:r>
                  </m:sub>
                </m:sSub>
              </m:oMath>
            </m:oMathPara>
          </w:p>
        </w:tc>
        <w:tc>
          <w:tcPr>
            <w:tcW w:w="895" w:type="dxa"/>
          </w:tcPr>
          <w:p w14:paraId="4BD4D8EC" w14:textId="6C6BDF91" w:rsidR="00AF230F" w:rsidRDefault="00AF230F" w:rsidP="00726EEF">
            <w:pPr>
              <w:jc w:val="center"/>
            </w:pPr>
            <w:r>
              <w:t>(</w:t>
            </w:r>
            <w:r w:rsidR="0002537A">
              <w:t>S</w:t>
            </w:r>
            <w:r>
              <w:t>2)</w:t>
            </w:r>
          </w:p>
        </w:tc>
      </w:tr>
      <w:tr w:rsidR="00414179" w14:paraId="75EE2DD7" w14:textId="77777777" w:rsidTr="00AF230F">
        <w:tc>
          <w:tcPr>
            <w:tcW w:w="8455" w:type="dxa"/>
          </w:tcPr>
          <w:p w14:paraId="616AA123" w14:textId="77777777" w:rsidR="00414179" w:rsidRDefault="00414179" w:rsidP="00AF230F">
            <w:pPr>
              <w:rPr>
                <w:rFonts w:ascii="Times New Roman" w:eastAsia="Calibri" w:hAnsi="Times New Roman" w:cs="Arial"/>
              </w:rPr>
            </w:pPr>
          </w:p>
        </w:tc>
        <w:tc>
          <w:tcPr>
            <w:tcW w:w="895" w:type="dxa"/>
          </w:tcPr>
          <w:p w14:paraId="52B49CBF" w14:textId="77777777" w:rsidR="00414179" w:rsidRDefault="00414179" w:rsidP="00726EEF">
            <w:pPr>
              <w:jc w:val="center"/>
            </w:pPr>
          </w:p>
        </w:tc>
      </w:tr>
    </w:tbl>
    <w:p w14:paraId="342A3EE3" w14:textId="5D2A80B8" w:rsidR="001C46D8" w:rsidRDefault="001C46D8" w:rsidP="00A477F7">
      <w:r w:rsidRPr="001C46D8">
        <w:t xml:space="preserve">The </w:t>
      </w:r>
      <w:r>
        <w:t>final</w:t>
      </w:r>
      <w:r w:rsidRPr="001C46D8">
        <w:t xml:space="preserve"> element among the primary set of parameters is the truss radius r, which varies between 0.02 and 0.05 in our given dataset. In brief, our initial parameterization approach involves five parameters, namely </w:t>
      </w:r>
      <w:r w:rsidRPr="001C46D8">
        <w:rPr>
          <w:i/>
          <w:iCs/>
        </w:rPr>
        <w:t>w</w:t>
      </w:r>
      <w:r w:rsidRPr="001C46D8">
        <w:rPr>
          <w:vertAlign w:val="subscript"/>
        </w:rPr>
        <w:t>2</w:t>
      </w:r>
      <w:r w:rsidRPr="001C46D8">
        <w:t xml:space="preserve">, </w:t>
      </w:r>
      <w:r w:rsidRPr="001C46D8">
        <w:rPr>
          <w:i/>
          <w:iCs/>
        </w:rPr>
        <w:t>w</w:t>
      </w:r>
      <w:r w:rsidRPr="001C46D8">
        <w:rPr>
          <w:vertAlign w:val="subscript"/>
        </w:rPr>
        <w:t>31</w:t>
      </w:r>
      <w:r w:rsidRPr="001C46D8">
        <w:t xml:space="preserve">, </w:t>
      </w:r>
      <w:r w:rsidRPr="001C46D8">
        <w:rPr>
          <w:i/>
          <w:iCs/>
        </w:rPr>
        <w:t>w</w:t>
      </w:r>
      <w:r w:rsidRPr="001C46D8">
        <w:rPr>
          <w:vertAlign w:val="subscript"/>
        </w:rPr>
        <w:t>32</w:t>
      </w:r>
      <w:r w:rsidRPr="001C46D8">
        <w:t xml:space="preserve">, and </w:t>
      </w:r>
      <w:r w:rsidRPr="001C46D8">
        <w:rPr>
          <w:i/>
          <w:iCs/>
        </w:rPr>
        <w:t>w</w:t>
      </w:r>
      <w:r w:rsidRPr="001C46D8">
        <w:rPr>
          <w:vertAlign w:val="subscript"/>
        </w:rPr>
        <w:t>33</w:t>
      </w:r>
      <w:r w:rsidRPr="001C46D8">
        <w:t>, with values ranging between 0 and 1, along with the truss radius</w:t>
      </w:r>
      <w:r>
        <w:t xml:space="preserve"> r</w:t>
      </w:r>
      <w:r w:rsidRPr="001C46D8">
        <w:t>, varying between 0.02 and 0.05. The outcomes of this initial set of parameters yield approximately 4900 unit-cells with a considerable range of bulk mechanical behavior, as illustrated in Fig 2. Nevertheless, this dataset exhibits a limited set of unit-cells, all of which are cubic, thereby not rendering it diverse enough to train a general model.</w:t>
      </w:r>
    </w:p>
    <w:p w14:paraId="5AE113D5" w14:textId="1029F1B4" w:rsidR="0000507B" w:rsidRPr="00542817" w:rsidRDefault="0000507B" w:rsidP="00A477F7">
      <w:pPr>
        <w:rPr>
          <w:b/>
          <w:bCs/>
        </w:rPr>
      </w:pPr>
      <w:r w:rsidRPr="00542817">
        <w:rPr>
          <w:b/>
          <w:bCs/>
        </w:rPr>
        <w:t>Cubic Structure Rotation</w:t>
      </w:r>
    </w:p>
    <w:p w14:paraId="45B0A7BF" w14:textId="152BFA16" w:rsidR="0000507B" w:rsidRDefault="00F42DC3" w:rsidP="00F42DC3">
      <w:r w:rsidRPr="00F42DC3">
        <w:t>Prior to exploring the application of rotations to unit-cells, it is essential to distinguish between the mechanical behavior of the base material and the cellular structures. The orientation of a cubic base material does not impact its stiffness tensor or mechanical properties, as its properties remain isotropic in all directions. However, the stiffness tensor of cellular materials is typically anisotropic, which implies that the mechanical properties are orientation-dependent [2]. This is especially relevant in our study since the numerical homogenization technique used to determine the stiffness tensor was based on six distinct loading scenarios, as previously noted. Thus, if we rotate the cellular material configuration, the stiffness tensor must be adjusted to account for this rotation. As a result, this rotation can potentially transform the cubic cellular structures into highly anisotropic structures exhibiting triclinic behavior.</w:t>
      </w:r>
      <w:r>
        <w:t xml:space="preserve"> </w:t>
      </w:r>
      <w:r w:rsidRPr="00F42DC3">
        <w:t xml:space="preserve">The procedure used to apply rotations is delineated in references [2, 3]. This process can be streamlined by rotating the Voigt notation C and calculating the Voigt notation of the rotated part, as demonstrated in Eq </w:t>
      </w:r>
      <w:r w:rsidR="0002537A">
        <w:t>S</w:t>
      </w:r>
      <w:r w:rsidRPr="00F42DC3">
        <w:t>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8F151C" w14:paraId="7AF57247" w14:textId="77777777" w:rsidTr="00726EEF">
        <w:tc>
          <w:tcPr>
            <w:tcW w:w="8455" w:type="dxa"/>
          </w:tcPr>
          <w:p w14:paraId="59350520" w14:textId="523F1513" w:rsidR="008F151C" w:rsidRDefault="00000000" w:rsidP="00726EEF">
            <m:oMathPara>
              <m:oMath>
                <m:sSub>
                  <m:sSubPr>
                    <m:ctrlPr>
                      <w:rPr>
                        <w:rFonts w:ascii="Cambria Math" w:hAnsi="Cambria Math"/>
                        <w:i/>
                        <w:sz w:val="22"/>
                        <w:szCs w:val="20"/>
                      </w:rPr>
                    </m:ctrlPr>
                  </m:sSubPr>
                  <m:e>
                    <m:r>
                      <w:rPr>
                        <w:rFonts w:ascii="Cambria Math" w:hAnsi="Cambria Math"/>
                        <w:sz w:val="22"/>
                        <w:szCs w:val="20"/>
                      </w:rPr>
                      <m:t>C</m:t>
                    </m:r>
                  </m:e>
                  <m:sub>
                    <m:r>
                      <w:rPr>
                        <w:rFonts w:ascii="Cambria Math" w:hAnsi="Cambria Math"/>
                        <w:sz w:val="22"/>
                        <w:szCs w:val="20"/>
                      </w:rPr>
                      <m:t>Rot</m:t>
                    </m:r>
                  </m:sub>
                </m:sSub>
                <m:r>
                  <w:rPr>
                    <w:rFonts w:ascii="Cambria Math" w:hAnsi="Cambria Math"/>
                    <w:sz w:val="22"/>
                    <w:szCs w:val="20"/>
                  </w:rPr>
                  <m:t xml:space="preserve"> = </m:t>
                </m:r>
                <m:sSub>
                  <m:sSubPr>
                    <m:ctrlPr>
                      <w:rPr>
                        <w:rFonts w:ascii="Cambria Math" w:hAnsi="Cambria Math"/>
                        <w:i/>
                        <w:sz w:val="22"/>
                        <w:szCs w:val="20"/>
                      </w:rPr>
                    </m:ctrlPr>
                  </m:sSubPr>
                  <m:e>
                    <m:r>
                      <w:rPr>
                        <w:rFonts w:ascii="Cambria Math" w:hAnsi="Cambria Math"/>
                        <w:sz w:val="22"/>
                        <w:szCs w:val="20"/>
                      </w:rPr>
                      <m:t>K</m:t>
                    </m:r>
                  </m:e>
                  <m:sub>
                    <m:r>
                      <w:rPr>
                        <w:rFonts w:ascii="Cambria Math" w:hAnsi="Cambria Math"/>
                        <w:sz w:val="22"/>
                        <w:szCs w:val="20"/>
                      </w:rPr>
                      <m:t>R</m:t>
                    </m:r>
                  </m:sub>
                </m:sSub>
                <m:r>
                  <w:rPr>
                    <w:rFonts w:ascii="Cambria Math" w:hAnsi="Cambria Math"/>
                    <w:sz w:val="22"/>
                    <w:szCs w:val="20"/>
                  </w:rPr>
                  <m:t xml:space="preserve"> C </m:t>
                </m:r>
                <m:sSubSup>
                  <m:sSubSupPr>
                    <m:ctrlPr>
                      <w:rPr>
                        <w:rFonts w:ascii="Cambria Math" w:hAnsi="Cambria Math"/>
                        <w:i/>
                        <w:sz w:val="22"/>
                        <w:szCs w:val="20"/>
                      </w:rPr>
                    </m:ctrlPr>
                  </m:sSubSupPr>
                  <m:e>
                    <m:r>
                      <w:rPr>
                        <w:rFonts w:ascii="Cambria Math" w:hAnsi="Cambria Math"/>
                        <w:sz w:val="22"/>
                        <w:szCs w:val="20"/>
                      </w:rPr>
                      <m:t>K</m:t>
                    </m:r>
                  </m:e>
                  <m:sub>
                    <m:r>
                      <w:rPr>
                        <w:rFonts w:ascii="Cambria Math" w:hAnsi="Cambria Math"/>
                        <w:sz w:val="22"/>
                        <w:szCs w:val="20"/>
                      </w:rPr>
                      <m:t>R</m:t>
                    </m:r>
                  </m:sub>
                  <m:sup>
                    <m:r>
                      <w:rPr>
                        <w:rFonts w:ascii="Cambria Math" w:hAnsi="Cambria Math"/>
                        <w:sz w:val="22"/>
                        <w:szCs w:val="20"/>
                      </w:rPr>
                      <m:t>T</m:t>
                    </m:r>
                  </m:sup>
                </m:sSubSup>
              </m:oMath>
            </m:oMathPara>
          </w:p>
        </w:tc>
        <w:tc>
          <w:tcPr>
            <w:tcW w:w="895" w:type="dxa"/>
          </w:tcPr>
          <w:p w14:paraId="62128140" w14:textId="5325CE65" w:rsidR="008F151C" w:rsidRDefault="008F151C" w:rsidP="00726EEF">
            <w:pPr>
              <w:jc w:val="center"/>
            </w:pPr>
            <w:r>
              <w:t>(</w:t>
            </w:r>
            <w:r w:rsidR="0002537A">
              <w:t>S</w:t>
            </w:r>
            <w:r>
              <w:t>3)</w:t>
            </w:r>
          </w:p>
        </w:tc>
      </w:tr>
    </w:tbl>
    <w:p w14:paraId="3834A560" w14:textId="59184D85" w:rsidR="00A477F7" w:rsidRPr="00B17564" w:rsidRDefault="00B53C9A" w:rsidP="008F151C">
      <w:pPr>
        <w:jc w:val="center"/>
        <w:rPr>
          <w:rFonts w:eastAsiaTheme="minorEastAsia"/>
          <w:sz w:val="22"/>
          <w:szCs w:val="20"/>
        </w:rPr>
      </w:pPr>
      <w:r w:rsidRPr="00B17564">
        <w:rPr>
          <w:rFonts w:eastAsiaTheme="minorEastAsia"/>
          <w:sz w:val="22"/>
          <w:szCs w:val="20"/>
        </w:rPr>
        <w:br/>
        <w:t xml:space="preserve">where: </w:t>
      </w:r>
      <m:oMath>
        <m:sSub>
          <m:sSubPr>
            <m:ctrlPr>
              <w:rPr>
                <w:rFonts w:ascii="Cambria Math" w:hAnsi="Cambria Math"/>
                <w:i/>
                <w:sz w:val="22"/>
                <w:szCs w:val="20"/>
              </w:rPr>
            </m:ctrlPr>
          </m:sSubPr>
          <m:e>
            <m:r>
              <w:rPr>
                <w:rFonts w:ascii="Cambria Math" w:hAnsi="Cambria Math"/>
                <w:sz w:val="22"/>
                <w:szCs w:val="20"/>
              </w:rPr>
              <m:t>K</m:t>
            </m:r>
          </m:e>
          <m:sub>
            <m:r>
              <w:rPr>
                <w:rFonts w:ascii="Cambria Math" w:hAnsi="Cambria Math"/>
                <w:sz w:val="22"/>
                <w:szCs w:val="20"/>
              </w:rPr>
              <m:t>R</m:t>
            </m:r>
          </m:sub>
        </m:sSub>
        <m:r>
          <w:rPr>
            <w:rFonts w:ascii="Cambria Math" w:hAnsi="Cambria Math"/>
            <w:sz w:val="22"/>
            <w:szCs w:val="20"/>
          </w:rPr>
          <m:t xml:space="preserve">= </m:t>
        </m:r>
        <m:d>
          <m:dPr>
            <m:begChr m:val="["/>
            <m:endChr m:val="]"/>
            <m:ctrlPr>
              <w:rPr>
                <w:rFonts w:ascii="Cambria Math" w:hAnsi="Cambria Math"/>
                <w:i/>
                <w:sz w:val="22"/>
                <w:szCs w:val="20"/>
              </w:rPr>
            </m:ctrlPr>
          </m:dPr>
          <m:e>
            <m:m>
              <m:mPr>
                <m:mcs>
                  <m:mc>
                    <m:mcPr>
                      <m:count m:val="2"/>
                      <m:mcJc m:val="center"/>
                    </m:mcPr>
                  </m:mc>
                </m:mcs>
                <m:ctrlPr>
                  <w:rPr>
                    <w:rFonts w:ascii="Cambria Math" w:hAnsi="Cambria Math"/>
                    <w:i/>
                    <w:sz w:val="22"/>
                    <w:szCs w:val="20"/>
                  </w:rPr>
                </m:ctrlPr>
              </m:mPr>
              <m:mr>
                <m:e>
                  <m:sSub>
                    <m:sSubPr>
                      <m:ctrlPr>
                        <w:rPr>
                          <w:rFonts w:ascii="Cambria Math" w:hAnsi="Cambria Math"/>
                          <w:i/>
                          <w:sz w:val="22"/>
                          <w:szCs w:val="20"/>
                        </w:rPr>
                      </m:ctrlPr>
                    </m:sSubPr>
                    <m:e>
                      <m:r>
                        <w:rPr>
                          <w:rFonts w:ascii="Cambria Math" w:hAnsi="Cambria Math"/>
                          <w:sz w:val="22"/>
                          <w:szCs w:val="20"/>
                        </w:rPr>
                        <m:t>K</m:t>
                      </m:r>
                    </m:e>
                    <m:sub>
                      <m:r>
                        <w:rPr>
                          <w:rFonts w:ascii="Cambria Math" w:hAnsi="Cambria Math"/>
                          <w:sz w:val="22"/>
                          <w:szCs w:val="20"/>
                        </w:rPr>
                        <m:t>R1</m:t>
                      </m:r>
                    </m:sub>
                  </m:sSub>
                </m:e>
                <m:e>
                  <m:r>
                    <w:rPr>
                      <w:rFonts w:ascii="Cambria Math" w:hAnsi="Cambria Math"/>
                      <w:sz w:val="22"/>
                      <w:szCs w:val="20"/>
                    </w:rPr>
                    <m:t>2</m:t>
                  </m:r>
                  <m:sSub>
                    <m:sSubPr>
                      <m:ctrlPr>
                        <w:rPr>
                          <w:rFonts w:ascii="Cambria Math" w:hAnsi="Cambria Math"/>
                          <w:i/>
                          <w:sz w:val="22"/>
                          <w:szCs w:val="20"/>
                        </w:rPr>
                      </m:ctrlPr>
                    </m:sSubPr>
                    <m:e>
                      <m:r>
                        <w:rPr>
                          <w:rFonts w:ascii="Cambria Math" w:hAnsi="Cambria Math"/>
                          <w:sz w:val="22"/>
                          <w:szCs w:val="20"/>
                        </w:rPr>
                        <m:t>K</m:t>
                      </m:r>
                    </m:e>
                    <m:sub>
                      <m:r>
                        <w:rPr>
                          <w:rFonts w:ascii="Cambria Math" w:hAnsi="Cambria Math"/>
                          <w:sz w:val="22"/>
                          <w:szCs w:val="20"/>
                        </w:rPr>
                        <m:t>R2</m:t>
                      </m:r>
                    </m:sub>
                  </m:sSub>
                </m:e>
              </m:mr>
              <m:mr>
                <m:e>
                  <m:sSub>
                    <m:sSubPr>
                      <m:ctrlPr>
                        <w:rPr>
                          <w:rFonts w:ascii="Cambria Math" w:hAnsi="Cambria Math"/>
                          <w:i/>
                          <w:sz w:val="22"/>
                          <w:szCs w:val="20"/>
                        </w:rPr>
                      </m:ctrlPr>
                    </m:sSubPr>
                    <m:e>
                      <m:r>
                        <w:rPr>
                          <w:rFonts w:ascii="Cambria Math" w:hAnsi="Cambria Math"/>
                          <w:sz w:val="22"/>
                          <w:szCs w:val="20"/>
                        </w:rPr>
                        <m:t>K</m:t>
                      </m:r>
                    </m:e>
                    <m:sub>
                      <m:r>
                        <w:rPr>
                          <w:rFonts w:ascii="Cambria Math" w:hAnsi="Cambria Math"/>
                          <w:sz w:val="22"/>
                          <w:szCs w:val="20"/>
                        </w:rPr>
                        <m:t>R3</m:t>
                      </m:r>
                    </m:sub>
                  </m:sSub>
                </m:e>
                <m:e>
                  <m:sSub>
                    <m:sSubPr>
                      <m:ctrlPr>
                        <w:rPr>
                          <w:rFonts w:ascii="Cambria Math" w:hAnsi="Cambria Math"/>
                          <w:i/>
                          <w:sz w:val="22"/>
                          <w:szCs w:val="20"/>
                        </w:rPr>
                      </m:ctrlPr>
                    </m:sSubPr>
                    <m:e>
                      <m:r>
                        <w:rPr>
                          <w:rFonts w:ascii="Cambria Math" w:hAnsi="Cambria Math"/>
                          <w:sz w:val="22"/>
                          <w:szCs w:val="20"/>
                        </w:rPr>
                        <m:t>K</m:t>
                      </m:r>
                    </m:e>
                    <m:sub>
                      <m:r>
                        <w:rPr>
                          <w:rFonts w:ascii="Cambria Math" w:hAnsi="Cambria Math"/>
                          <w:sz w:val="22"/>
                          <w:szCs w:val="20"/>
                        </w:rPr>
                        <m:t>R4</m:t>
                      </m:r>
                    </m:sub>
                  </m:sSub>
                </m:e>
              </m:mr>
            </m:m>
          </m:e>
        </m:d>
      </m:oMath>
    </w:p>
    <w:p w14:paraId="71C5DA9E" w14:textId="7330028E" w:rsidR="00922E75" w:rsidRPr="00922E75" w:rsidRDefault="00000000" w:rsidP="00922E75">
      <w:pPr>
        <w:jc w:val="center"/>
        <w:rPr>
          <w:rFonts w:eastAsiaTheme="minorEastAsia"/>
          <w:sz w:val="22"/>
        </w:rPr>
      </w:pPr>
      <m:oMathPara>
        <m:oMathParaPr>
          <m:jc m:val="center"/>
        </m:oMathParaPr>
        <m:oMath>
          <m:sSub>
            <m:sSubPr>
              <m:ctrlPr>
                <w:rPr>
                  <w:rFonts w:ascii="Cambria Math" w:hAnsi="Cambria Math"/>
                  <w:i/>
                  <w:sz w:val="22"/>
                  <w:szCs w:val="20"/>
                </w:rPr>
              </m:ctrlPr>
            </m:sSubPr>
            <m:e>
              <m:r>
                <w:rPr>
                  <w:rFonts w:ascii="Cambria Math" w:hAnsi="Cambria Math"/>
                  <w:sz w:val="22"/>
                  <w:szCs w:val="20"/>
                </w:rPr>
                <m:t>K</m:t>
              </m:r>
            </m:e>
            <m:sub>
              <m:r>
                <w:rPr>
                  <w:rFonts w:ascii="Cambria Math" w:hAnsi="Cambria Math"/>
                  <w:sz w:val="22"/>
                  <w:szCs w:val="20"/>
                </w:rPr>
                <m:t>R1</m:t>
              </m:r>
            </m:sub>
          </m:sSub>
          <m:r>
            <w:rPr>
              <w:rFonts w:ascii="Cambria Math" w:eastAsiaTheme="minorEastAsia" w:hAnsi="Cambria Math"/>
              <w:sz w:val="22"/>
              <w:szCs w:val="20"/>
            </w:rPr>
            <m:t xml:space="preserve">= </m:t>
          </m:r>
          <m:d>
            <m:dPr>
              <m:begChr m:val="["/>
              <m:endChr m:val="]"/>
              <m:ctrlPr>
                <w:rPr>
                  <w:rFonts w:ascii="Cambria Math" w:eastAsiaTheme="minorEastAsia" w:hAnsi="Cambria Math"/>
                  <w:i/>
                  <w:sz w:val="22"/>
                  <w:szCs w:val="20"/>
                </w:rPr>
              </m:ctrlPr>
            </m:dPr>
            <m:e>
              <m:m>
                <m:mPr>
                  <m:mcs>
                    <m:mc>
                      <m:mcPr>
                        <m:count m:val="3"/>
                        <m:mcJc m:val="center"/>
                      </m:mcPr>
                    </m:mc>
                  </m:mcs>
                  <m:ctrlPr>
                    <w:rPr>
                      <w:rFonts w:ascii="Cambria Math" w:eastAsiaTheme="minorEastAsia" w:hAnsi="Cambria Math"/>
                      <w:i/>
                      <w:sz w:val="22"/>
                      <w:szCs w:val="20"/>
                    </w:rPr>
                  </m:ctrlPr>
                </m:mPr>
                <m:mr>
                  <m:e>
                    <m:sSubSup>
                      <m:sSubSupPr>
                        <m:ctrlPr>
                          <w:rPr>
                            <w:rFonts w:ascii="Cambria Math" w:eastAsiaTheme="minorEastAsia" w:hAnsi="Cambria Math"/>
                            <w:i/>
                            <w:sz w:val="22"/>
                            <w:szCs w:val="20"/>
                          </w:rPr>
                        </m:ctrlPr>
                      </m:sSubSupPr>
                      <m:e>
                        <m:r>
                          <w:rPr>
                            <w:rFonts w:ascii="Cambria Math" w:eastAsiaTheme="minorEastAsia" w:hAnsi="Cambria Math"/>
                            <w:sz w:val="22"/>
                            <w:szCs w:val="20"/>
                          </w:rPr>
                          <m:t>R</m:t>
                        </m:r>
                      </m:e>
                      <m:sub>
                        <m:r>
                          <w:rPr>
                            <w:rFonts w:ascii="Cambria Math" w:eastAsiaTheme="minorEastAsia" w:hAnsi="Cambria Math"/>
                            <w:sz w:val="22"/>
                            <w:szCs w:val="20"/>
                          </w:rPr>
                          <m:t>11</m:t>
                        </m:r>
                      </m:sub>
                      <m:sup>
                        <m:r>
                          <w:rPr>
                            <w:rFonts w:ascii="Cambria Math" w:eastAsiaTheme="minorEastAsia" w:hAnsi="Cambria Math"/>
                            <w:sz w:val="22"/>
                            <w:szCs w:val="20"/>
                          </w:rPr>
                          <m:t>2</m:t>
                        </m:r>
                      </m:sup>
                    </m:sSubSup>
                  </m:e>
                  <m:e>
                    <m:sSubSup>
                      <m:sSubSupPr>
                        <m:ctrlPr>
                          <w:rPr>
                            <w:rFonts w:ascii="Cambria Math" w:eastAsiaTheme="minorEastAsia" w:hAnsi="Cambria Math"/>
                            <w:i/>
                            <w:sz w:val="22"/>
                            <w:szCs w:val="20"/>
                          </w:rPr>
                        </m:ctrlPr>
                      </m:sSubSupPr>
                      <m:e>
                        <m:r>
                          <w:rPr>
                            <w:rFonts w:ascii="Cambria Math" w:eastAsiaTheme="minorEastAsia" w:hAnsi="Cambria Math"/>
                            <w:sz w:val="22"/>
                            <w:szCs w:val="20"/>
                          </w:rPr>
                          <m:t>R</m:t>
                        </m:r>
                      </m:e>
                      <m:sub>
                        <m:r>
                          <w:rPr>
                            <w:rFonts w:ascii="Cambria Math" w:eastAsiaTheme="minorEastAsia" w:hAnsi="Cambria Math"/>
                            <w:sz w:val="22"/>
                            <w:szCs w:val="20"/>
                          </w:rPr>
                          <m:t>12</m:t>
                        </m:r>
                      </m:sub>
                      <m:sup>
                        <m:r>
                          <w:rPr>
                            <w:rFonts w:ascii="Cambria Math" w:eastAsiaTheme="minorEastAsia" w:hAnsi="Cambria Math"/>
                            <w:sz w:val="22"/>
                            <w:szCs w:val="20"/>
                          </w:rPr>
                          <m:t>2</m:t>
                        </m:r>
                      </m:sup>
                    </m:sSubSup>
                    <m:ctrlPr>
                      <w:rPr>
                        <w:rFonts w:ascii="Cambria Math" w:eastAsia="Cambria Math" w:hAnsi="Cambria Math" w:cs="Cambria Math"/>
                        <w:i/>
                        <w:sz w:val="22"/>
                        <w:szCs w:val="20"/>
                      </w:rPr>
                    </m:ctrlPr>
                  </m:e>
                  <m:e>
                    <m:sSubSup>
                      <m:sSubSupPr>
                        <m:ctrlPr>
                          <w:rPr>
                            <w:rFonts w:ascii="Cambria Math" w:eastAsiaTheme="minorEastAsia" w:hAnsi="Cambria Math"/>
                            <w:i/>
                            <w:sz w:val="22"/>
                            <w:szCs w:val="20"/>
                          </w:rPr>
                        </m:ctrlPr>
                      </m:sSubSupPr>
                      <m:e>
                        <m:r>
                          <w:rPr>
                            <w:rFonts w:ascii="Cambria Math" w:eastAsiaTheme="minorEastAsia" w:hAnsi="Cambria Math"/>
                            <w:sz w:val="22"/>
                            <w:szCs w:val="20"/>
                          </w:rPr>
                          <m:t>R</m:t>
                        </m:r>
                      </m:e>
                      <m:sub>
                        <m:r>
                          <w:rPr>
                            <w:rFonts w:ascii="Cambria Math" w:eastAsiaTheme="minorEastAsia" w:hAnsi="Cambria Math"/>
                            <w:sz w:val="22"/>
                            <w:szCs w:val="20"/>
                          </w:rPr>
                          <m:t>13</m:t>
                        </m:r>
                      </m:sub>
                      <m:sup>
                        <m:r>
                          <w:rPr>
                            <w:rFonts w:ascii="Cambria Math" w:eastAsiaTheme="minorEastAsia" w:hAnsi="Cambria Math"/>
                            <w:sz w:val="22"/>
                            <w:szCs w:val="20"/>
                          </w:rPr>
                          <m:t>2</m:t>
                        </m:r>
                      </m:sup>
                    </m:sSubSup>
                  </m:e>
                </m:mr>
                <m:mr>
                  <m:e>
                    <m:sSubSup>
                      <m:sSubSupPr>
                        <m:ctrlPr>
                          <w:rPr>
                            <w:rFonts w:ascii="Cambria Math" w:eastAsiaTheme="minorEastAsia" w:hAnsi="Cambria Math"/>
                            <w:i/>
                            <w:sz w:val="22"/>
                            <w:szCs w:val="20"/>
                          </w:rPr>
                        </m:ctrlPr>
                      </m:sSubSupPr>
                      <m:e>
                        <m:r>
                          <w:rPr>
                            <w:rFonts w:ascii="Cambria Math" w:eastAsiaTheme="minorEastAsia" w:hAnsi="Cambria Math"/>
                            <w:sz w:val="22"/>
                            <w:szCs w:val="20"/>
                          </w:rPr>
                          <m:t>R</m:t>
                        </m:r>
                      </m:e>
                      <m:sub>
                        <m:r>
                          <w:rPr>
                            <w:rFonts w:ascii="Cambria Math" w:eastAsiaTheme="minorEastAsia" w:hAnsi="Cambria Math"/>
                            <w:sz w:val="22"/>
                            <w:szCs w:val="20"/>
                          </w:rPr>
                          <m:t>21</m:t>
                        </m:r>
                      </m:sub>
                      <m:sup>
                        <m:r>
                          <w:rPr>
                            <w:rFonts w:ascii="Cambria Math" w:eastAsiaTheme="minorEastAsia" w:hAnsi="Cambria Math"/>
                            <w:sz w:val="22"/>
                            <w:szCs w:val="20"/>
                          </w:rPr>
                          <m:t>2</m:t>
                        </m:r>
                      </m:sup>
                    </m:sSubSup>
                    <m:ctrlPr>
                      <w:rPr>
                        <w:rFonts w:ascii="Cambria Math" w:eastAsia="Cambria Math" w:hAnsi="Cambria Math" w:cs="Cambria Math"/>
                        <w:i/>
                        <w:sz w:val="22"/>
                        <w:szCs w:val="20"/>
                      </w:rPr>
                    </m:ctrlPr>
                  </m:e>
                  <m:e>
                    <m:sSubSup>
                      <m:sSubSupPr>
                        <m:ctrlPr>
                          <w:rPr>
                            <w:rFonts w:ascii="Cambria Math" w:eastAsiaTheme="minorEastAsia" w:hAnsi="Cambria Math"/>
                            <w:i/>
                            <w:sz w:val="22"/>
                            <w:szCs w:val="20"/>
                          </w:rPr>
                        </m:ctrlPr>
                      </m:sSubSupPr>
                      <m:e>
                        <m:r>
                          <w:rPr>
                            <w:rFonts w:ascii="Cambria Math" w:eastAsiaTheme="minorEastAsia" w:hAnsi="Cambria Math"/>
                            <w:sz w:val="22"/>
                            <w:szCs w:val="20"/>
                          </w:rPr>
                          <m:t>R</m:t>
                        </m:r>
                      </m:e>
                      <m:sub>
                        <m:r>
                          <w:rPr>
                            <w:rFonts w:ascii="Cambria Math" w:eastAsiaTheme="minorEastAsia" w:hAnsi="Cambria Math"/>
                            <w:sz w:val="22"/>
                            <w:szCs w:val="20"/>
                          </w:rPr>
                          <m:t>22</m:t>
                        </m:r>
                      </m:sub>
                      <m:sup>
                        <m:r>
                          <w:rPr>
                            <w:rFonts w:ascii="Cambria Math" w:eastAsiaTheme="minorEastAsia" w:hAnsi="Cambria Math"/>
                            <w:sz w:val="22"/>
                            <w:szCs w:val="20"/>
                          </w:rPr>
                          <m:t>2</m:t>
                        </m:r>
                      </m:sup>
                    </m:sSubSup>
                    <m:ctrlPr>
                      <w:rPr>
                        <w:rFonts w:ascii="Cambria Math" w:eastAsia="Cambria Math" w:hAnsi="Cambria Math" w:cs="Cambria Math"/>
                        <w:i/>
                        <w:sz w:val="22"/>
                        <w:szCs w:val="20"/>
                      </w:rPr>
                    </m:ctrlPr>
                  </m:e>
                  <m:e>
                    <m:sSubSup>
                      <m:sSubSupPr>
                        <m:ctrlPr>
                          <w:rPr>
                            <w:rFonts w:ascii="Cambria Math" w:eastAsiaTheme="minorEastAsia" w:hAnsi="Cambria Math"/>
                            <w:i/>
                            <w:sz w:val="22"/>
                            <w:szCs w:val="20"/>
                          </w:rPr>
                        </m:ctrlPr>
                      </m:sSubSupPr>
                      <m:e>
                        <m:r>
                          <w:rPr>
                            <w:rFonts w:ascii="Cambria Math" w:eastAsiaTheme="minorEastAsia" w:hAnsi="Cambria Math"/>
                            <w:sz w:val="22"/>
                            <w:szCs w:val="20"/>
                          </w:rPr>
                          <m:t>R</m:t>
                        </m:r>
                      </m:e>
                      <m:sub>
                        <m:r>
                          <w:rPr>
                            <w:rFonts w:ascii="Cambria Math" w:eastAsiaTheme="minorEastAsia" w:hAnsi="Cambria Math"/>
                            <w:sz w:val="22"/>
                            <w:szCs w:val="20"/>
                          </w:rPr>
                          <m:t>23</m:t>
                        </m:r>
                      </m:sub>
                      <m:sup>
                        <m:r>
                          <w:rPr>
                            <w:rFonts w:ascii="Cambria Math" w:eastAsiaTheme="minorEastAsia" w:hAnsi="Cambria Math"/>
                            <w:sz w:val="22"/>
                            <w:szCs w:val="20"/>
                          </w:rPr>
                          <m:t>2</m:t>
                        </m:r>
                      </m:sup>
                    </m:sSubSup>
                    <m:ctrlPr>
                      <w:rPr>
                        <w:rFonts w:ascii="Cambria Math" w:eastAsia="Cambria Math" w:hAnsi="Cambria Math" w:cs="Cambria Math"/>
                        <w:i/>
                        <w:sz w:val="22"/>
                        <w:szCs w:val="20"/>
                      </w:rPr>
                    </m:ctrlPr>
                  </m:e>
                </m:mr>
                <m:mr>
                  <m:e>
                    <m:sSubSup>
                      <m:sSubSupPr>
                        <m:ctrlPr>
                          <w:rPr>
                            <w:rFonts w:ascii="Cambria Math" w:eastAsiaTheme="minorEastAsia" w:hAnsi="Cambria Math"/>
                            <w:i/>
                            <w:sz w:val="22"/>
                            <w:szCs w:val="20"/>
                          </w:rPr>
                        </m:ctrlPr>
                      </m:sSubSupPr>
                      <m:e>
                        <m:r>
                          <w:rPr>
                            <w:rFonts w:ascii="Cambria Math" w:eastAsiaTheme="minorEastAsia" w:hAnsi="Cambria Math"/>
                            <w:sz w:val="22"/>
                            <w:szCs w:val="20"/>
                          </w:rPr>
                          <m:t>R</m:t>
                        </m:r>
                      </m:e>
                      <m:sub>
                        <m:r>
                          <w:rPr>
                            <w:rFonts w:ascii="Cambria Math" w:eastAsiaTheme="minorEastAsia" w:hAnsi="Cambria Math"/>
                            <w:sz w:val="22"/>
                            <w:szCs w:val="20"/>
                          </w:rPr>
                          <m:t>31</m:t>
                        </m:r>
                      </m:sub>
                      <m:sup>
                        <m:r>
                          <w:rPr>
                            <w:rFonts w:ascii="Cambria Math" w:eastAsiaTheme="minorEastAsia" w:hAnsi="Cambria Math"/>
                            <w:sz w:val="22"/>
                            <w:szCs w:val="20"/>
                          </w:rPr>
                          <m:t>2</m:t>
                        </m:r>
                      </m:sup>
                    </m:sSubSup>
                  </m:e>
                  <m:e>
                    <m:sSubSup>
                      <m:sSubSupPr>
                        <m:ctrlPr>
                          <w:rPr>
                            <w:rFonts w:ascii="Cambria Math" w:eastAsiaTheme="minorEastAsia" w:hAnsi="Cambria Math"/>
                            <w:i/>
                            <w:sz w:val="22"/>
                            <w:szCs w:val="20"/>
                          </w:rPr>
                        </m:ctrlPr>
                      </m:sSubSupPr>
                      <m:e>
                        <m:r>
                          <w:rPr>
                            <w:rFonts w:ascii="Cambria Math" w:eastAsiaTheme="minorEastAsia" w:hAnsi="Cambria Math"/>
                            <w:sz w:val="22"/>
                            <w:szCs w:val="20"/>
                          </w:rPr>
                          <m:t>R</m:t>
                        </m:r>
                      </m:e>
                      <m:sub>
                        <m:r>
                          <w:rPr>
                            <w:rFonts w:ascii="Cambria Math" w:eastAsiaTheme="minorEastAsia" w:hAnsi="Cambria Math"/>
                            <w:sz w:val="22"/>
                            <w:szCs w:val="20"/>
                          </w:rPr>
                          <m:t>32</m:t>
                        </m:r>
                      </m:sub>
                      <m:sup>
                        <m:r>
                          <w:rPr>
                            <w:rFonts w:ascii="Cambria Math" w:eastAsiaTheme="minorEastAsia" w:hAnsi="Cambria Math"/>
                            <w:sz w:val="22"/>
                            <w:szCs w:val="20"/>
                          </w:rPr>
                          <m:t>2</m:t>
                        </m:r>
                      </m:sup>
                    </m:sSubSup>
                    <m:ctrlPr>
                      <w:rPr>
                        <w:rFonts w:ascii="Cambria Math" w:eastAsia="Cambria Math" w:hAnsi="Cambria Math" w:cs="Cambria Math"/>
                        <w:i/>
                        <w:sz w:val="22"/>
                        <w:szCs w:val="20"/>
                      </w:rPr>
                    </m:ctrlPr>
                  </m:e>
                  <m:e>
                    <m:sSubSup>
                      <m:sSubSupPr>
                        <m:ctrlPr>
                          <w:rPr>
                            <w:rFonts w:ascii="Cambria Math" w:eastAsiaTheme="minorEastAsia" w:hAnsi="Cambria Math"/>
                            <w:i/>
                            <w:sz w:val="22"/>
                            <w:szCs w:val="20"/>
                          </w:rPr>
                        </m:ctrlPr>
                      </m:sSubSupPr>
                      <m:e>
                        <m:r>
                          <w:rPr>
                            <w:rFonts w:ascii="Cambria Math" w:eastAsiaTheme="minorEastAsia" w:hAnsi="Cambria Math"/>
                            <w:sz w:val="22"/>
                            <w:szCs w:val="20"/>
                          </w:rPr>
                          <m:t>R</m:t>
                        </m:r>
                      </m:e>
                      <m:sub>
                        <m:r>
                          <w:rPr>
                            <w:rFonts w:ascii="Cambria Math" w:eastAsiaTheme="minorEastAsia" w:hAnsi="Cambria Math"/>
                            <w:sz w:val="22"/>
                            <w:szCs w:val="20"/>
                          </w:rPr>
                          <m:t>33</m:t>
                        </m:r>
                      </m:sub>
                      <m:sup>
                        <m:r>
                          <w:rPr>
                            <w:rFonts w:ascii="Cambria Math" w:eastAsiaTheme="minorEastAsia" w:hAnsi="Cambria Math"/>
                            <w:sz w:val="22"/>
                            <w:szCs w:val="20"/>
                          </w:rPr>
                          <m:t>2</m:t>
                        </m:r>
                      </m:sup>
                    </m:sSubSup>
                  </m:e>
                </m:mr>
              </m:m>
            </m:e>
          </m:d>
          <m:r>
            <w:rPr>
              <w:rFonts w:ascii="Cambria Math" w:eastAsiaTheme="minorEastAsia" w:hAnsi="Cambria Math"/>
              <w:sz w:val="22"/>
              <w:szCs w:val="20"/>
            </w:rPr>
            <m:t xml:space="preserve">, </m:t>
          </m:r>
          <m:sSub>
            <m:sSubPr>
              <m:ctrlPr>
                <w:rPr>
                  <w:rFonts w:ascii="Cambria Math" w:hAnsi="Cambria Math"/>
                  <w:i/>
                  <w:sz w:val="22"/>
                  <w:szCs w:val="20"/>
                </w:rPr>
              </m:ctrlPr>
            </m:sSubPr>
            <m:e>
              <m:r>
                <w:rPr>
                  <w:rFonts w:ascii="Cambria Math" w:hAnsi="Cambria Math"/>
                  <w:sz w:val="22"/>
                  <w:szCs w:val="20"/>
                </w:rPr>
                <m:t>K</m:t>
              </m:r>
            </m:e>
            <m:sub>
              <m:r>
                <w:rPr>
                  <w:rFonts w:ascii="Cambria Math" w:hAnsi="Cambria Math"/>
                  <w:sz w:val="22"/>
                  <w:szCs w:val="20"/>
                </w:rPr>
                <m:t>R2</m:t>
              </m:r>
            </m:sub>
          </m:sSub>
          <m:r>
            <w:rPr>
              <w:rFonts w:ascii="Cambria Math" w:hAnsi="Cambria Math"/>
              <w:sz w:val="22"/>
              <w:szCs w:val="20"/>
            </w:rPr>
            <m:t xml:space="preserve">= </m:t>
          </m:r>
          <m:d>
            <m:dPr>
              <m:begChr m:val="["/>
              <m:endChr m:val="]"/>
              <m:ctrlPr>
                <w:rPr>
                  <w:rFonts w:ascii="Cambria Math" w:eastAsiaTheme="minorEastAsia" w:hAnsi="Cambria Math"/>
                  <w:i/>
                  <w:sz w:val="22"/>
                  <w:szCs w:val="20"/>
                </w:rPr>
              </m:ctrlPr>
            </m:dPr>
            <m:e>
              <m:m>
                <m:mPr>
                  <m:mcs>
                    <m:mc>
                      <m:mcPr>
                        <m:count m:val="3"/>
                        <m:mcJc m:val="center"/>
                      </m:mcPr>
                    </m:mc>
                  </m:mcs>
                  <m:ctrlPr>
                    <w:rPr>
                      <w:rFonts w:ascii="Cambria Math" w:eastAsiaTheme="minorEastAsia" w:hAnsi="Cambria Math"/>
                      <w:i/>
                      <w:sz w:val="22"/>
                      <w:szCs w:val="20"/>
                    </w:rPr>
                  </m:ctrlPr>
                </m:mPr>
                <m:mr>
                  <m:e>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12</m:t>
                        </m:r>
                      </m:sub>
                    </m:sSub>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13</m:t>
                        </m:r>
                      </m:sub>
                    </m:sSub>
                  </m:e>
                  <m:e>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13</m:t>
                        </m:r>
                      </m:sub>
                    </m:sSub>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11</m:t>
                        </m:r>
                      </m:sub>
                    </m:sSub>
                    <m:ctrlPr>
                      <w:rPr>
                        <w:rFonts w:ascii="Cambria Math" w:eastAsia="Cambria Math" w:hAnsi="Cambria Math" w:cs="Cambria Math"/>
                        <w:i/>
                        <w:sz w:val="22"/>
                        <w:szCs w:val="20"/>
                      </w:rPr>
                    </m:ctrlPr>
                  </m:e>
                  <m:e>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11</m:t>
                        </m:r>
                      </m:sub>
                    </m:sSub>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12</m:t>
                        </m:r>
                      </m:sub>
                    </m:sSub>
                  </m:e>
                </m:mr>
                <m:mr>
                  <m:e>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22</m:t>
                        </m:r>
                      </m:sub>
                    </m:sSub>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23</m:t>
                        </m:r>
                      </m:sub>
                    </m:sSub>
                    <m:ctrlPr>
                      <w:rPr>
                        <w:rFonts w:ascii="Cambria Math" w:eastAsia="Cambria Math" w:hAnsi="Cambria Math" w:cs="Cambria Math"/>
                        <w:i/>
                        <w:sz w:val="22"/>
                        <w:szCs w:val="20"/>
                      </w:rPr>
                    </m:ctrlPr>
                  </m:e>
                  <m:e>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23</m:t>
                        </m:r>
                      </m:sub>
                    </m:sSub>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21</m:t>
                        </m:r>
                      </m:sub>
                    </m:sSub>
                    <m:ctrlPr>
                      <w:rPr>
                        <w:rFonts w:ascii="Cambria Math" w:eastAsia="Cambria Math" w:hAnsi="Cambria Math" w:cs="Cambria Math"/>
                        <w:i/>
                        <w:sz w:val="22"/>
                        <w:szCs w:val="20"/>
                      </w:rPr>
                    </m:ctrlPr>
                  </m:e>
                  <m:e>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21</m:t>
                        </m:r>
                      </m:sub>
                    </m:sSub>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22</m:t>
                        </m:r>
                      </m:sub>
                    </m:sSub>
                    <m:ctrlPr>
                      <w:rPr>
                        <w:rFonts w:ascii="Cambria Math" w:eastAsia="Cambria Math" w:hAnsi="Cambria Math" w:cs="Cambria Math"/>
                        <w:i/>
                        <w:sz w:val="22"/>
                        <w:szCs w:val="20"/>
                      </w:rPr>
                    </m:ctrlPr>
                  </m:e>
                </m:mr>
                <m:mr>
                  <m:e>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32</m:t>
                        </m:r>
                      </m:sub>
                    </m:sSub>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33</m:t>
                        </m:r>
                      </m:sub>
                    </m:sSub>
                  </m:e>
                  <m:e>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33</m:t>
                        </m:r>
                      </m:sub>
                    </m:sSub>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31</m:t>
                        </m:r>
                      </m:sub>
                    </m:sSub>
                    <m:ctrlPr>
                      <w:rPr>
                        <w:rFonts w:ascii="Cambria Math" w:eastAsia="Cambria Math" w:hAnsi="Cambria Math" w:cs="Cambria Math"/>
                        <w:i/>
                        <w:sz w:val="22"/>
                        <w:szCs w:val="20"/>
                      </w:rPr>
                    </m:ctrlPr>
                  </m:e>
                  <m:e>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31</m:t>
                        </m:r>
                      </m:sub>
                    </m:sSub>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32</m:t>
                        </m:r>
                      </m:sub>
                    </m:sSub>
                  </m:e>
                </m:mr>
              </m:m>
            </m:e>
          </m:d>
          <m:r>
            <w:rPr>
              <w:rFonts w:ascii="Cambria Math" w:eastAsiaTheme="minorEastAsia" w:hAnsi="Cambria Math"/>
              <w:sz w:val="22"/>
              <w:szCs w:val="20"/>
            </w:rPr>
            <m:t xml:space="preserve">, </m:t>
          </m:r>
          <m:sSub>
            <m:sSubPr>
              <m:ctrlPr>
                <w:rPr>
                  <w:rFonts w:ascii="Cambria Math" w:hAnsi="Cambria Math"/>
                  <w:i/>
                  <w:sz w:val="22"/>
                  <w:szCs w:val="20"/>
                </w:rPr>
              </m:ctrlPr>
            </m:sSubPr>
            <m:e>
              <m:r>
                <w:rPr>
                  <w:rFonts w:ascii="Cambria Math" w:hAnsi="Cambria Math"/>
                  <w:sz w:val="22"/>
                  <w:szCs w:val="20"/>
                </w:rPr>
                <m:t>K</m:t>
              </m:r>
            </m:e>
            <m:sub>
              <m:r>
                <w:rPr>
                  <w:rFonts w:ascii="Cambria Math" w:hAnsi="Cambria Math"/>
                  <w:sz w:val="22"/>
                  <w:szCs w:val="20"/>
                </w:rPr>
                <m:t>R2</m:t>
              </m:r>
            </m:sub>
          </m:sSub>
          <m:r>
            <w:rPr>
              <w:rFonts w:ascii="Cambria Math" w:hAnsi="Cambria Math"/>
              <w:sz w:val="22"/>
              <w:szCs w:val="20"/>
            </w:rPr>
            <m:t xml:space="preserve">= </m:t>
          </m:r>
          <m:d>
            <m:dPr>
              <m:begChr m:val="["/>
              <m:endChr m:val="]"/>
              <m:ctrlPr>
                <w:rPr>
                  <w:rFonts w:ascii="Cambria Math" w:eastAsiaTheme="minorEastAsia" w:hAnsi="Cambria Math"/>
                  <w:i/>
                  <w:sz w:val="22"/>
                  <w:szCs w:val="20"/>
                </w:rPr>
              </m:ctrlPr>
            </m:dPr>
            <m:e>
              <m:m>
                <m:mPr>
                  <m:mcs>
                    <m:mc>
                      <m:mcPr>
                        <m:count m:val="3"/>
                        <m:mcJc m:val="center"/>
                      </m:mcPr>
                    </m:mc>
                  </m:mcs>
                  <m:ctrlPr>
                    <w:rPr>
                      <w:rFonts w:ascii="Cambria Math" w:eastAsiaTheme="minorEastAsia" w:hAnsi="Cambria Math"/>
                      <w:i/>
                      <w:sz w:val="22"/>
                      <w:szCs w:val="20"/>
                    </w:rPr>
                  </m:ctrlPr>
                </m:mPr>
                <m:mr>
                  <m:e>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21</m:t>
                        </m:r>
                      </m:sub>
                    </m:sSub>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31</m:t>
                        </m:r>
                      </m:sub>
                    </m:sSub>
                  </m:e>
                  <m:e>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22</m:t>
                        </m:r>
                      </m:sub>
                    </m:sSub>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32</m:t>
                        </m:r>
                      </m:sub>
                    </m:sSub>
                    <m:ctrlPr>
                      <w:rPr>
                        <w:rFonts w:ascii="Cambria Math" w:eastAsia="Cambria Math" w:hAnsi="Cambria Math" w:cs="Cambria Math"/>
                        <w:i/>
                        <w:sz w:val="22"/>
                        <w:szCs w:val="20"/>
                      </w:rPr>
                    </m:ctrlPr>
                  </m:e>
                  <m:e>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23</m:t>
                        </m:r>
                      </m:sub>
                    </m:sSub>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33</m:t>
                        </m:r>
                      </m:sub>
                    </m:sSub>
                  </m:e>
                </m:mr>
                <m:mr>
                  <m:e>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31</m:t>
                        </m:r>
                      </m:sub>
                    </m:sSub>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11</m:t>
                        </m:r>
                      </m:sub>
                    </m:sSub>
                    <m:ctrlPr>
                      <w:rPr>
                        <w:rFonts w:ascii="Cambria Math" w:eastAsia="Cambria Math" w:hAnsi="Cambria Math" w:cs="Cambria Math"/>
                        <w:i/>
                        <w:sz w:val="22"/>
                        <w:szCs w:val="20"/>
                      </w:rPr>
                    </m:ctrlPr>
                  </m:e>
                  <m:e>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32</m:t>
                        </m:r>
                      </m:sub>
                    </m:sSub>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12</m:t>
                        </m:r>
                      </m:sub>
                    </m:sSub>
                    <m:ctrlPr>
                      <w:rPr>
                        <w:rFonts w:ascii="Cambria Math" w:eastAsia="Cambria Math" w:hAnsi="Cambria Math" w:cs="Cambria Math"/>
                        <w:i/>
                        <w:sz w:val="22"/>
                        <w:szCs w:val="20"/>
                      </w:rPr>
                    </m:ctrlPr>
                  </m:e>
                  <m:e>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33</m:t>
                        </m:r>
                      </m:sub>
                    </m:sSub>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13</m:t>
                        </m:r>
                      </m:sub>
                    </m:sSub>
                    <m:ctrlPr>
                      <w:rPr>
                        <w:rFonts w:ascii="Cambria Math" w:eastAsia="Cambria Math" w:hAnsi="Cambria Math" w:cs="Cambria Math"/>
                        <w:i/>
                        <w:sz w:val="22"/>
                        <w:szCs w:val="20"/>
                      </w:rPr>
                    </m:ctrlPr>
                  </m:e>
                </m:mr>
                <m:mr>
                  <m:e>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11</m:t>
                        </m:r>
                      </m:sub>
                    </m:sSub>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21</m:t>
                        </m:r>
                      </m:sub>
                    </m:sSub>
                  </m:e>
                  <m:e>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12</m:t>
                        </m:r>
                      </m:sub>
                    </m:sSub>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22</m:t>
                        </m:r>
                      </m:sub>
                    </m:sSub>
                    <m:ctrlPr>
                      <w:rPr>
                        <w:rFonts w:ascii="Cambria Math" w:eastAsia="Cambria Math" w:hAnsi="Cambria Math" w:cs="Cambria Math"/>
                        <w:i/>
                        <w:sz w:val="22"/>
                        <w:szCs w:val="20"/>
                      </w:rPr>
                    </m:ctrlPr>
                  </m:e>
                  <m:e>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13</m:t>
                        </m:r>
                      </m:sub>
                    </m:sSub>
                    <m:sSub>
                      <m:sSubPr>
                        <m:ctrlPr>
                          <w:rPr>
                            <w:rFonts w:ascii="Cambria Math" w:eastAsiaTheme="minorEastAsia" w:hAnsi="Cambria Math"/>
                            <w:i/>
                            <w:sz w:val="22"/>
                            <w:szCs w:val="20"/>
                          </w:rPr>
                        </m:ctrlPr>
                      </m:sSubPr>
                      <m:e>
                        <m:r>
                          <w:rPr>
                            <w:rFonts w:ascii="Cambria Math" w:eastAsiaTheme="minorEastAsia" w:hAnsi="Cambria Math"/>
                            <w:sz w:val="22"/>
                            <w:szCs w:val="20"/>
                          </w:rPr>
                          <m:t>R</m:t>
                        </m:r>
                      </m:e>
                      <m:sub>
                        <m:r>
                          <w:rPr>
                            <w:rFonts w:ascii="Cambria Math" w:eastAsiaTheme="minorEastAsia" w:hAnsi="Cambria Math"/>
                            <w:sz w:val="22"/>
                            <w:szCs w:val="20"/>
                          </w:rPr>
                          <m:t>23</m:t>
                        </m:r>
                      </m:sub>
                    </m:sSub>
                  </m:e>
                </m:mr>
              </m:m>
            </m:e>
          </m:d>
          <m:r>
            <m:rPr>
              <m:sty m:val="p"/>
            </m:rPr>
            <w:rPr>
              <w:rFonts w:ascii="Cambria Math" w:eastAsiaTheme="minorEastAsia" w:hAnsi="Cambria Math"/>
              <w:sz w:val="22"/>
              <w:szCs w:val="20"/>
            </w:rPr>
            <w:br/>
          </m:r>
        </m:oMath>
        <m:oMath>
          <m:sSub>
            <m:sSubPr>
              <m:ctrlPr>
                <w:rPr>
                  <w:rFonts w:ascii="Cambria Math" w:hAnsi="Cambria Math"/>
                  <w:i/>
                  <w:sz w:val="22"/>
                </w:rPr>
              </m:ctrlPr>
            </m:sSubPr>
            <m:e>
              <m:r>
                <w:rPr>
                  <w:rFonts w:ascii="Cambria Math" w:hAnsi="Cambria Math"/>
                  <w:sz w:val="22"/>
                </w:rPr>
                <m:t>K</m:t>
              </m:r>
            </m:e>
            <m:sub>
              <m:r>
                <w:rPr>
                  <w:rFonts w:ascii="Cambria Math" w:hAnsi="Cambria Math"/>
                  <w:sz w:val="22"/>
                </w:rPr>
                <m:t>R4</m:t>
              </m:r>
            </m:sub>
          </m:sSub>
          <m:r>
            <w:rPr>
              <w:rFonts w:ascii="Cambria Math" w:eastAsiaTheme="minorEastAsia" w:hAnsi="Cambria Math"/>
              <w:sz w:val="22"/>
            </w:rPr>
            <m:t>=</m:t>
          </m:r>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22</m:t>
                        </m:r>
                      </m:sub>
                    </m:sSub>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33</m:t>
                        </m:r>
                      </m:sub>
                    </m:sSub>
                    <m:r>
                      <w:rPr>
                        <w:rFonts w:ascii="Cambria Math" w:eastAsiaTheme="minorEastAsia" w:hAnsi="Cambria Math"/>
                        <w:sz w:val="22"/>
                      </w:rPr>
                      <m:t xml:space="preserve"> + </m:t>
                    </m:r>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23</m:t>
                        </m:r>
                      </m:sub>
                    </m:sSub>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32</m:t>
                        </m:r>
                      </m:sub>
                    </m:sSub>
                  </m:e>
                  <m:e>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21</m:t>
                        </m:r>
                      </m:sub>
                    </m:sSub>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33</m:t>
                        </m:r>
                      </m:sub>
                    </m:sSub>
                    <m:r>
                      <w:rPr>
                        <w:rFonts w:ascii="Cambria Math" w:eastAsiaTheme="minorEastAsia" w:hAnsi="Cambria Math"/>
                        <w:sz w:val="22"/>
                      </w:rPr>
                      <m:t xml:space="preserve"> + </m:t>
                    </m:r>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23</m:t>
                        </m:r>
                      </m:sub>
                    </m:sSub>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31</m:t>
                        </m:r>
                      </m:sub>
                    </m:sSub>
                    <m:ctrlPr>
                      <w:rPr>
                        <w:rFonts w:ascii="Cambria Math" w:eastAsia="Cambria Math" w:hAnsi="Cambria Math" w:cs="Cambria Math"/>
                        <w:i/>
                        <w:sz w:val="22"/>
                      </w:rPr>
                    </m:ctrlPr>
                  </m:e>
                  <m:e>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22</m:t>
                        </m:r>
                      </m:sub>
                    </m:sSub>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31</m:t>
                        </m:r>
                      </m:sub>
                    </m:sSub>
                    <m:r>
                      <w:rPr>
                        <w:rFonts w:ascii="Cambria Math" w:eastAsiaTheme="minorEastAsia" w:hAnsi="Cambria Math"/>
                        <w:sz w:val="22"/>
                      </w:rPr>
                      <m:t xml:space="preserve"> + </m:t>
                    </m:r>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21</m:t>
                        </m:r>
                      </m:sub>
                    </m:sSub>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32</m:t>
                        </m:r>
                      </m:sub>
                    </m:sSub>
                  </m:e>
                </m:mr>
                <m:mr>
                  <m:e>
                    <m:sSub>
                      <m:sSubPr>
                        <m:ctrlPr>
                          <w:rPr>
                            <w:rFonts w:ascii="Cambria Math" w:hAnsi="Cambria Math" w:cs="Arial"/>
                            <w:i/>
                            <w:iCs/>
                            <w:sz w:val="22"/>
                            <w:shd w:val="clear" w:color="auto" w:fill="FFFFFF"/>
                          </w:rPr>
                        </m:ctrlPr>
                      </m:sSubPr>
                      <m:e>
                        <m:r>
                          <w:rPr>
                            <w:rFonts w:ascii="Cambria Math" w:hAnsi="Cambria Math" w:cs="Arial"/>
                            <w:sz w:val="22"/>
                            <w:shd w:val="clear" w:color="auto" w:fill="FFFFFF"/>
                          </w:rPr>
                          <m:t>R</m:t>
                        </m:r>
                      </m:e>
                      <m:sub>
                        <m:r>
                          <w:rPr>
                            <w:rFonts w:ascii="Cambria Math" w:hAnsi="Cambria Math" w:cs="Arial"/>
                            <w:sz w:val="22"/>
                            <w:shd w:val="clear" w:color="auto" w:fill="FFFFFF"/>
                          </w:rPr>
                          <m:t>12</m:t>
                        </m:r>
                      </m:sub>
                    </m:sSub>
                    <m:sSub>
                      <m:sSubPr>
                        <m:ctrlPr>
                          <w:rPr>
                            <w:rFonts w:ascii="Cambria Math" w:hAnsi="Cambria Math" w:cs="Arial"/>
                            <w:i/>
                            <w:iCs/>
                            <w:sz w:val="22"/>
                            <w:shd w:val="clear" w:color="auto" w:fill="FFFFFF"/>
                          </w:rPr>
                        </m:ctrlPr>
                      </m:sSubPr>
                      <m:e>
                        <m:r>
                          <w:rPr>
                            <w:rFonts w:ascii="Cambria Math" w:hAnsi="Cambria Math" w:cs="Arial"/>
                            <w:sz w:val="22"/>
                            <w:shd w:val="clear" w:color="auto" w:fill="FFFFFF"/>
                          </w:rPr>
                          <m:t>R</m:t>
                        </m:r>
                      </m:e>
                      <m:sub>
                        <m:r>
                          <w:rPr>
                            <w:rFonts w:ascii="Cambria Math" w:hAnsi="Cambria Math" w:cs="Arial"/>
                            <w:sz w:val="22"/>
                            <w:shd w:val="clear" w:color="auto" w:fill="FFFFFF"/>
                          </w:rPr>
                          <m:t>33</m:t>
                        </m:r>
                      </m:sub>
                    </m:sSub>
                    <m:r>
                      <w:rPr>
                        <w:rFonts w:ascii="Cambria Math" w:hAnsi="Cambria Math" w:cs="Arial"/>
                        <w:sz w:val="22"/>
                        <w:shd w:val="clear" w:color="auto" w:fill="FFFFFF"/>
                      </w:rPr>
                      <m:t xml:space="preserve"> + </m:t>
                    </m:r>
                    <m:sSub>
                      <m:sSubPr>
                        <m:ctrlPr>
                          <w:rPr>
                            <w:rFonts w:ascii="Cambria Math" w:hAnsi="Cambria Math" w:cs="Arial"/>
                            <w:i/>
                            <w:iCs/>
                            <w:sz w:val="22"/>
                            <w:shd w:val="clear" w:color="auto" w:fill="FFFFFF"/>
                          </w:rPr>
                        </m:ctrlPr>
                      </m:sSubPr>
                      <m:e>
                        <m:r>
                          <w:rPr>
                            <w:rFonts w:ascii="Cambria Math" w:hAnsi="Cambria Math" w:cs="Arial"/>
                            <w:sz w:val="22"/>
                            <w:shd w:val="clear" w:color="auto" w:fill="FFFFFF"/>
                          </w:rPr>
                          <m:t>R</m:t>
                        </m:r>
                      </m:e>
                      <m:sub>
                        <m:r>
                          <w:rPr>
                            <w:rFonts w:ascii="Cambria Math" w:hAnsi="Cambria Math" w:cs="Arial"/>
                            <w:sz w:val="22"/>
                            <w:shd w:val="clear" w:color="auto" w:fill="FFFFFF"/>
                          </w:rPr>
                          <m:t>13</m:t>
                        </m:r>
                      </m:sub>
                    </m:sSub>
                    <m:sSub>
                      <m:sSubPr>
                        <m:ctrlPr>
                          <w:rPr>
                            <w:rFonts w:ascii="Cambria Math" w:hAnsi="Cambria Math" w:cs="Arial"/>
                            <w:i/>
                            <w:iCs/>
                            <w:sz w:val="22"/>
                            <w:shd w:val="clear" w:color="auto" w:fill="FFFFFF"/>
                          </w:rPr>
                        </m:ctrlPr>
                      </m:sSubPr>
                      <m:e>
                        <m:r>
                          <w:rPr>
                            <w:rFonts w:ascii="Cambria Math" w:hAnsi="Cambria Math" w:cs="Arial"/>
                            <w:sz w:val="22"/>
                            <w:shd w:val="clear" w:color="auto" w:fill="FFFFFF"/>
                          </w:rPr>
                          <m:t>R</m:t>
                        </m:r>
                      </m:e>
                      <m:sub>
                        <m:r>
                          <w:rPr>
                            <w:rFonts w:ascii="Cambria Math" w:hAnsi="Cambria Math" w:cs="Arial"/>
                            <w:sz w:val="22"/>
                            <w:shd w:val="clear" w:color="auto" w:fill="FFFFFF"/>
                          </w:rPr>
                          <m:t>32</m:t>
                        </m:r>
                      </m:sub>
                    </m:sSub>
                    <m:r>
                      <m:rPr>
                        <m:sty m:val="p"/>
                      </m:rPr>
                      <w:rPr>
                        <w:rFonts w:ascii="Cambria Math" w:hAnsi="Cambria Math" w:cs="Arial"/>
                        <w:sz w:val="22"/>
                        <w:shd w:val="clear" w:color="auto" w:fill="FFFFFF"/>
                      </w:rPr>
                      <m:t xml:space="preserve"> </m:t>
                    </m:r>
                    <m:ctrlPr>
                      <w:rPr>
                        <w:rFonts w:ascii="Cambria Math" w:eastAsia="Cambria Math" w:hAnsi="Cambria Math" w:cs="Cambria Math"/>
                        <w:i/>
                        <w:sz w:val="22"/>
                      </w:rPr>
                    </m:ctrlPr>
                  </m:e>
                  <m:e>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13</m:t>
                        </m:r>
                      </m:sub>
                    </m:sSub>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31</m:t>
                        </m:r>
                      </m:sub>
                    </m:sSub>
                    <m:r>
                      <w:rPr>
                        <w:rFonts w:ascii="Cambria Math" w:eastAsiaTheme="minorEastAsia" w:hAnsi="Cambria Math"/>
                        <w:sz w:val="22"/>
                      </w:rPr>
                      <m:t xml:space="preserve"> + </m:t>
                    </m:r>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11</m:t>
                        </m:r>
                      </m:sub>
                    </m:sSub>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33</m:t>
                        </m:r>
                      </m:sub>
                    </m:sSub>
                    <m:ctrlPr>
                      <w:rPr>
                        <w:rFonts w:ascii="Cambria Math" w:eastAsia="Cambria Math" w:hAnsi="Cambria Math" w:cs="Cambria Math"/>
                        <w:i/>
                        <w:sz w:val="22"/>
                      </w:rPr>
                    </m:ctrlPr>
                  </m:e>
                  <m:e>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11</m:t>
                        </m:r>
                      </m:sub>
                    </m:sSub>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32</m:t>
                        </m:r>
                      </m:sub>
                    </m:sSub>
                    <m:r>
                      <w:rPr>
                        <w:rFonts w:ascii="Cambria Math" w:eastAsiaTheme="minorEastAsia" w:hAnsi="Cambria Math"/>
                        <w:sz w:val="22"/>
                      </w:rPr>
                      <m:t xml:space="preserve"> + </m:t>
                    </m:r>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12</m:t>
                        </m:r>
                      </m:sub>
                    </m:sSub>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31</m:t>
                        </m:r>
                      </m:sub>
                    </m:sSub>
                    <m:ctrlPr>
                      <w:rPr>
                        <w:rFonts w:ascii="Cambria Math" w:eastAsia="Cambria Math" w:hAnsi="Cambria Math" w:cs="Cambria Math"/>
                        <w:i/>
                        <w:sz w:val="22"/>
                      </w:rPr>
                    </m:ctrlPr>
                  </m:e>
                </m:mr>
                <m:mr>
                  <m:e>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12</m:t>
                        </m:r>
                      </m:sub>
                    </m:sSub>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23</m:t>
                        </m:r>
                      </m:sub>
                    </m:sSub>
                    <m:r>
                      <w:rPr>
                        <w:rFonts w:ascii="Cambria Math" w:eastAsiaTheme="minorEastAsia" w:hAnsi="Cambria Math"/>
                        <w:sz w:val="22"/>
                      </w:rPr>
                      <m:t xml:space="preserve"> + </m:t>
                    </m:r>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13</m:t>
                        </m:r>
                      </m:sub>
                    </m:sSub>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22</m:t>
                        </m:r>
                      </m:sub>
                    </m:sSub>
                    <m:r>
                      <w:rPr>
                        <w:rFonts w:ascii="Cambria Math" w:eastAsiaTheme="minorEastAsia" w:hAnsi="Cambria Math"/>
                        <w:sz w:val="22"/>
                      </w:rPr>
                      <m:t xml:space="preserve"> </m:t>
                    </m:r>
                  </m:e>
                  <m:e>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13</m:t>
                        </m:r>
                      </m:sub>
                    </m:sSub>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21</m:t>
                        </m:r>
                      </m:sub>
                    </m:sSub>
                    <m:r>
                      <w:rPr>
                        <w:rFonts w:ascii="Cambria Math" w:eastAsiaTheme="minorEastAsia" w:hAnsi="Cambria Math"/>
                        <w:sz w:val="22"/>
                      </w:rPr>
                      <m:t xml:space="preserve"> + </m:t>
                    </m:r>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11</m:t>
                        </m:r>
                      </m:sub>
                    </m:sSub>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23</m:t>
                        </m:r>
                      </m:sub>
                    </m:sSub>
                    <m:ctrlPr>
                      <w:rPr>
                        <w:rFonts w:ascii="Cambria Math" w:eastAsia="Cambria Math" w:hAnsi="Cambria Math" w:cs="Cambria Math"/>
                        <w:i/>
                        <w:sz w:val="22"/>
                      </w:rPr>
                    </m:ctrlPr>
                  </m:e>
                  <m:e>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11</m:t>
                        </m:r>
                      </m:sub>
                    </m:sSub>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22</m:t>
                        </m:r>
                      </m:sub>
                    </m:sSub>
                    <m:r>
                      <w:rPr>
                        <w:rFonts w:ascii="Cambria Math" w:eastAsiaTheme="minorEastAsia" w:hAnsi="Cambria Math"/>
                        <w:sz w:val="22"/>
                      </w:rPr>
                      <m:t xml:space="preserve"> + </m:t>
                    </m:r>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12</m:t>
                        </m:r>
                      </m:sub>
                    </m:sSub>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21</m:t>
                        </m:r>
                      </m:sub>
                    </m:sSub>
                  </m:e>
                </m:mr>
              </m:m>
            </m:e>
          </m:d>
          <m:r>
            <w:rPr>
              <w:rFonts w:ascii="Cambria Math" w:eastAsiaTheme="minorEastAsia" w:hAnsi="Cambria Math"/>
              <w:sz w:val="22"/>
            </w:rPr>
            <m:t xml:space="preserve"> </m:t>
          </m:r>
        </m:oMath>
      </m:oMathPara>
    </w:p>
    <w:p w14:paraId="65D0B5FD" w14:textId="064160D2" w:rsidR="00B756F1" w:rsidRDefault="00B756F1" w:rsidP="00922E75">
      <w:pPr>
        <w:rPr>
          <w:rFonts w:eastAsiaTheme="minorEastAsia"/>
          <w:szCs w:val="24"/>
        </w:rPr>
      </w:pPr>
      <w:r w:rsidRPr="00B756F1">
        <w:rPr>
          <w:rFonts w:eastAsiaTheme="minorEastAsia"/>
          <w:szCs w:val="24"/>
        </w:rPr>
        <w:lastRenderedPageBreak/>
        <w:t xml:space="preserve">The </w:t>
      </w:r>
      <w:r w:rsidRPr="0002537A">
        <w:rPr>
          <w:rFonts w:eastAsiaTheme="minorEastAsia"/>
          <w:i/>
          <w:iCs/>
          <w:szCs w:val="24"/>
        </w:rPr>
        <w:t>R</w:t>
      </w:r>
      <w:r w:rsidRPr="00B756F1">
        <w:rPr>
          <w:rFonts w:eastAsiaTheme="minorEastAsia"/>
          <w:szCs w:val="24"/>
          <w:vertAlign w:val="subscript"/>
        </w:rPr>
        <w:t>ij</w:t>
      </w:r>
      <w:r w:rsidRPr="00B756F1">
        <w:rPr>
          <w:rFonts w:eastAsiaTheme="minorEastAsia"/>
          <w:szCs w:val="24"/>
        </w:rPr>
        <w:t xml:space="preserve"> terms in the rotational matrix can be computed by specifying the rotational angle θ</w:t>
      </w:r>
      <w:r w:rsidRPr="0002537A">
        <w:rPr>
          <w:rFonts w:eastAsiaTheme="minorEastAsia"/>
          <w:szCs w:val="24"/>
          <w:vertAlign w:val="subscript"/>
        </w:rPr>
        <w:t>rot</w:t>
      </w:r>
      <w:r w:rsidRPr="00B756F1">
        <w:rPr>
          <w:rFonts w:eastAsiaTheme="minorEastAsia"/>
          <w:szCs w:val="24"/>
        </w:rPr>
        <w:t xml:space="preserve"> and the axis of rotation [e</w:t>
      </w:r>
      <w:r w:rsidRPr="0002537A">
        <w:rPr>
          <w:rFonts w:eastAsiaTheme="minorEastAsia"/>
          <w:szCs w:val="24"/>
          <w:vertAlign w:val="subscript"/>
        </w:rPr>
        <w:t>1</w:t>
      </w:r>
      <w:r w:rsidRPr="00B756F1">
        <w:rPr>
          <w:rFonts w:eastAsiaTheme="minorEastAsia"/>
          <w:szCs w:val="24"/>
        </w:rPr>
        <w:t>, e</w:t>
      </w:r>
      <w:r w:rsidRPr="0002537A">
        <w:rPr>
          <w:rFonts w:eastAsiaTheme="minorEastAsia"/>
          <w:szCs w:val="24"/>
          <w:vertAlign w:val="subscript"/>
        </w:rPr>
        <w:t>2</w:t>
      </w:r>
      <w:r w:rsidRPr="00B756F1">
        <w:rPr>
          <w:rFonts w:eastAsiaTheme="minorEastAsia"/>
          <w:szCs w:val="24"/>
        </w:rPr>
        <w:t>, e</w:t>
      </w:r>
      <w:r w:rsidRPr="0002537A">
        <w:rPr>
          <w:rFonts w:eastAsiaTheme="minorEastAsia"/>
          <w:szCs w:val="24"/>
          <w:vertAlign w:val="subscript"/>
        </w:rPr>
        <w:t>3</w:t>
      </w:r>
      <w:r w:rsidRPr="00B756F1">
        <w:rPr>
          <w:rFonts w:eastAsiaTheme="minorEastAsia"/>
          <w:szCs w:val="24"/>
        </w:rPr>
        <w:t>]. To generate various configurations of unit-cells, we rotated each of the 4900 unit-cells using an angle θ</w:t>
      </w:r>
      <w:r w:rsidRPr="0002537A">
        <w:rPr>
          <w:rFonts w:eastAsiaTheme="minorEastAsia"/>
          <w:szCs w:val="24"/>
          <w:vertAlign w:val="subscript"/>
        </w:rPr>
        <w:t>rot</w:t>
      </w:r>
      <w:r w:rsidRPr="00B756F1">
        <w:rPr>
          <w:rFonts w:eastAsiaTheme="minorEastAsia"/>
          <w:szCs w:val="24"/>
        </w:rPr>
        <w:t>, ranging from -π to π, around the axis of rotation, formed by the combinations of the unit vectors e</w:t>
      </w:r>
      <w:r w:rsidRPr="0002537A">
        <w:rPr>
          <w:rFonts w:eastAsiaTheme="minorEastAsia"/>
          <w:szCs w:val="24"/>
          <w:vertAlign w:val="subscript"/>
        </w:rPr>
        <w:t>1</w:t>
      </w:r>
      <w:r w:rsidRPr="00B756F1">
        <w:rPr>
          <w:rFonts w:eastAsiaTheme="minorEastAsia"/>
          <w:szCs w:val="24"/>
        </w:rPr>
        <w:t xml:space="preserve"> and e</w:t>
      </w:r>
      <w:r w:rsidRPr="0002537A">
        <w:rPr>
          <w:rFonts w:eastAsiaTheme="minorEastAsia"/>
          <w:szCs w:val="24"/>
          <w:vertAlign w:val="subscript"/>
        </w:rPr>
        <w:t>2</w:t>
      </w:r>
      <w:r w:rsidRPr="00B756F1">
        <w:rPr>
          <w:rFonts w:eastAsiaTheme="minorEastAsia"/>
          <w:szCs w:val="24"/>
        </w:rPr>
        <w:t>, which range between 0 and 1. The unit vector e</w:t>
      </w:r>
      <w:r w:rsidRPr="0002537A">
        <w:rPr>
          <w:rFonts w:eastAsiaTheme="minorEastAsia"/>
          <w:szCs w:val="24"/>
          <w:vertAlign w:val="subscript"/>
        </w:rPr>
        <w:t>3</w:t>
      </w:r>
      <w:r w:rsidRPr="00B756F1">
        <w:rPr>
          <w:rFonts w:eastAsiaTheme="minorEastAsia"/>
          <w:szCs w:val="24"/>
        </w:rPr>
        <w:t xml:space="preserve"> for the last axis of rotation was computed using Eq </w:t>
      </w:r>
      <w:r w:rsidR="0002537A">
        <w:rPr>
          <w:rFonts w:eastAsiaTheme="minorEastAsia"/>
          <w:szCs w:val="24"/>
        </w:rPr>
        <w:t>S</w:t>
      </w:r>
      <w:r w:rsidRPr="00B756F1">
        <w:rPr>
          <w:rFonts w:eastAsiaTheme="minorEastAsia"/>
          <w:szCs w:val="24"/>
        </w:rPr>
        <w:t xml:space="preserve">4. Employing this rotation method, we generated over 3,000,000 unit-cell configurations, many of which exhibit similar behavior. This arises from the base constituent unit-cell's plane of symmetry, where all rotations </w:t>
      </w:r>
      <w:r w:rsidRPr="0002537A">
        <w:rPr>
          <w:rFonts w:eastAsiaTheme="minorEastAsia"/>
          <w:i/>
          <w:iCs/>
          <w:szCs w:val="24"/>
        </w:rPr>
        <w:t>R</w:t>
      </w:r>
      <w:r w:rsidRPr="00B756F1">
        <w:rPr>
          <w:rFonts w:eastAsiaTheme="minorEastAsia"/>
          <w:szCs w:val="24"/>
        </w:rPr>
        <w:t xml:space="preserve"> made along the same coordinate axis with an angle of kθ</w:t>
      </w:r>
      <w:r w:rsidRPr="0002537A">
        <w:rPr>
          <w:rFonts w:eastAsiaTheme="minorEastAsia"/>
          <w:szCs w:val="24"/>
          <w:vertAlign w:val="subscript"/>
        </w:rPr>
        <w:t>rot</w:t>
      </w:r>
      <w:r w:rsidRPr="00B756F1">
        <w:rPr>
          <w:rFonts w:eastAsiaTheme="minorEastAsia"/>
          <w:szCs w:val="24"/>
        </w:rPr>
        <w:t>, where k can be -1 or 1, lead to identical configurations and stiffness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02537A" w14:paraId="36B58A2E" w14:textId="77777777" w:rsidTr="0002537A">
        <w:tc>
          <w:tcPr>
            <w:tcW w:w="8455" w:type="dxa"/>
            <w:vAlign w:val="center"/>
          </w:tcPr>
          <w:p w14:paraId="550DE8A6" w14:textId="05ADCB91" w:rsidR="0002537A" w:rsidRDefault="00000000" w:rsidP="0002537A">
            <w:pPr>
              <w:jc w:val="center"/>
            </w:pPr>
            <m:oMathPara>
              <m:oMath>
                <m:sSub>
                  <m:sSubPr>
                    <m:ctrlPr>
                      <w:rPr>
                        <w:rFonts w:ascii="Cambria Math" w:hAnsi="Cambria Math"/>
                        <w:iCs/>
                        <w:sz w:val="22"/>
                        <w:szCs w:val="20"/>
                      </w:rPr>
                    </m:ctrlPr>
                  </m:sSubPr>
                  <m:e>
                    <m:r>
                      <m:rPr>
                        <m:sty m:val="p"/>
                      </m:rPr>
                      <w:rPr>
                        <w:rFonts w:ascii="Cambria Math" w:hAnsi="Cambria Math"/>
                        <w:sz w:val="22"/>
                        <w:szCs w:val="20"/>
                      </w:rPr>
                      <m:t>e</m:t>
                    </m:r>
                  </m:e>
                  <m:sub>
                    <m:r>
                      <m:rPr>
                        <m:sty m:val="p"/>
                      </m:rPr>
                      <w:rPr>
                        <w:rFonts w:ascii="Cambria Math" w:hAnsi="Cambria Math"/>
                        <w:sz w:val="22"/>
                        <w:szCs w:val="20"/>
                      </w:rPr>
                      <m:t>3</m:t>
                    </m:r>
                  </m:sub>
                </m:sSub>
                <m:r>
                  <w:rPr>
                    <w:rFonts w:ascii="Cambria Math" w:hAnsi="Cambria Math"/>
                    <w:sz w:val="22"/>
                    <w:szCs w:val="20"/>
                  </w:rPr>
                  <m:t xml:space="preserve">= </m:t>
                </m:r>
                <m:rad>
                  <m:radPr>
                    <m:degHide m:val="1"/>
                    <m:ctrlPr>
                      <w:rPr>
                        <w:rFonts w:ascii="Cambria Math" w:hAnsi="Cambria Math"/>
                        <w:i/>
                        <w:sz w:val="22"/>
                        <w:szCs w:val="20"/>
                      </w:rPr>
                    </m:ctrlPr>
                  </m:radPr>
                  <m:deg/>
                  <m:e>
                    <m:r>
                      <w:rPr>
                        <w:rFonts w:ascii="Cambria Math" w:hAnsi="Cambria Math"/>
                        <w:sz w:val="22"/>
                        <w:szCs w:val="20"/>
                      </w:rPr>
                      <m:t>1-</m:t>
                    </m:r>
                    <m:sSubSup>
                      <m:sSubSupPr>
                        <m:ctrlPr>
                          <w:rPr>
                            <w:rFonts w:ascii="Cambria Math" w:hAnsi="Cambria Math"/>
                            <w:i/>
                            <w:sz w:val="22"/>
                            <w:szCs w:val="20"/>
                          </w:rPr>
                        </m:ctrlPr>
                      </m:sSubSupPr>
                      <m:e>
                        <m:r>
                          <m:rPr>
                            <m:sty m:val="p"/>
                          </m:rPr>
                          <w:rPr>
                            <w:rFonts w:ascii="Cambria Math" w:hAnsi="Cambria Math"/>
                            <w:sz w:val="22"/>
                            <w:szCs w:val="20"/>
                          </w:rPr>
                          <m:t>e</m:t>
                        </m:r>
                      </m:e>
                      <m:sub>
                        <m:r>
                          <w:rPr>
                            <w:rFonts w:ascii="Cambria Math" w:hAnsi="Cambria Math"/>
                            <w:sz w:val="22"/>
                            <w:szCs w:val="20"/>
                          </w:rPr>
                          <m:t>1</m:t>
                        </m:r>
                      </m:sub>
                      <m:sup>
                        <m:r>
                          <w:rPr>
                            <w:rFonts w:ascii="Cambria Math" w:hAnsi="Cambria Math"/>
                            <w:sz w:val="22"/>
                            <w:szCs w:val="20"/>
                          </w:rPr>
                          <m:t>2</m:t>
                        </m:r>
                      </m:sup>
                    </m:sSubSup>
                    <m:r>
                      <w:rPr>
                        <w:rFonts w:ascii="Cambria Math" w:hAnsi="Cambria Math"/>
                        <w:sz w:val="22"/>
                        <w:szCs w:val="20"/>
                      </w:rPr>
                      <m:t>-</m:t>
                    </m:r>
                    <m:sSubSup>
                      <m:sSubSupPr>
                        <m:ctrlPr>
                          <w:rPr>
                            <w:rFonts w:ascii="Cambria Math" w:hAnsi="Cambria Math"/>
                            <w:i/>
                            <w:sz w:val="22"/>
                            <w:szCs w:val="20"/>
                          </w:rPr>
                        </m:ctrlPr>
                      </m:sSubSupPr>
                      <m:e>
                        <m:r>
                          <m:rPr>
                            <m:sty m:val="p"/>
                          </m:rPr>
                          <w:rPr>
                            <w:rFonts w:ascii="Cambria Math" w:hAnsi="Cambria Math"/>
                            <w:sz w:val="22"/>
                            <w:szCs w:val="20"/>
                          </w:rPr>
                          <m:t>e</m:t>
                        </m:r>
                      </m:e>
                      <m:sub>
                        <m:r>
                          <w:rPr>
                            <w:rFonts w:ascii="Cambria Math" w:hAnsi="Cambria Math"/>
                            <w:sz w:val="22"/>
                            <w:szCs w:val="20"/>
                          </w:rPr>
                          <m:t>2</m:t>
                        </m:r>
                      </m:sub>
                      <m:sup>
                        <m:r>
                          <w:rPr>
                            <w:rFonts w:ascii="Cambria Math" w:hAnsi="Cambria Math"/>
                            <w:sz w:val="22"/>
                            <w:szCs w:val="20"/>
                          </w:rPr>
                          <m:t>2</m:t>
                        </m:r>
                      </m:sup>
                    </m:sSubSup>
                  </m:e>
                </m:rad>
              </m:oMath>
            </m:oMathPara>
          </w:p>
        </w:tc>
        <w:tc>
          <w:tcPr>
            <w:tcW w:w="895" w:type="dxa"/>
            <w:vAlign w:val="center"/>
          </w:tcPr>
          <w:p w14:paraId="11A309A4" w14:textId="2FB678B4" w:rsidR="0002537A" w:rsidRDefault="0002537A" w:rsidP="0002537A">
            <w:pPr>
              <w:jc w:val="center"/>
            </w:pPr>
            <w:r>
              <w:t>(S4)</w:t>
            </w:r>
          </w:p>
        </w:tc>
      </w:tr>
    </w:tbl>
    <w:p w14:paraId="74595C00" w14:textId="3AA9AE65" w:rsidR="004671DD" w:rsidRDefault="004671DD" w:rsidP="0002537A">
      <w:pPr>
        <w:rPr>
          <w:rFonts w:eastAsiaTheme="minorEastAsia"/>
        </w:rPr>
      </w:pPr>
    </w:p>
    <w:p w14:paraId="78BC4863" w14:textId="4768227B" w:rsidR="000E6AEC" w:rsidRDefault="000E6AEC" w:rsidP="00E72AA0">
      <w:pPr>
        <w:rPr>
          <w:rFonts w:eastAsiaTheme="minorEastAsia"/>
        </w:rPr>
      </w:pPr>
      <w:r w:rsidRPr="000E6AEC">
        <w:rPr>
          <w:rFonts w:eastAsiaTheme="minorEastAsia"/>
        </w:rPr>
        <w:t>Using a single angle and axis of rotation can lead to challenges in maintaining continuity in the representation of rotational parameters, as it repeats every 2π. This discontinuity renders it difficult to develop data-driven models that directly predict rotational parameters. To address this issue, a feasible solution is to transform the 3D representation [θ</w:t>
      </w:r>
      <w:r w:rsidRPr="000E6AEC">
        <w:rPr>
          <w:rFonts w:eastAsiaTheme="minorEastAsia"/>
          <w:vertAlign w:val="subscript"/>
        </w:rPr>
        <w:t>rot</w:t>
      </w:r>
      <w:r w:rsidRPr="000E6AEC">
        <w:rPr>
          <w:rFonts w:eastAsiaTheme="minorEastAsia"/>
        </w:rPr>
        <w:t>, e</w:t>
      </w:r>
      <w:r w:rsidRPr="000E6AEC">
        <w:rPr>
          <w:rFonts w:eastAsiaTheme="minorEastAsia"/>
          <w:vertAlign w:val="subscript"/>
        </w:rPr>
        <w:t>1</w:t>
      </w:r>
      <w:r w:rsidRPr="000E6AEC">
        <w:rPr>
          <w:rFonts w:eastAsiaTheme="minorEastAsia"/>
        </w:rPr>
        <w:t>, e</w:t>
      </w:r>
      <w:r w:rsidRPr="000E6AEC">
        <w:rPr>
          <w:rFonts w:eastAsiaTheme="minorEastAsia"/>
          <w:vertAlign w:val="subscript"/>
        </w:rPr>
        <w:t>2</w:t>
      </w:r>
      <w:r w:rsidRPr="000E6AEC">
        <w:rPr>
          <w:rFonts w:eastAsiaTheme="minorEastAsia"/>
        </w:rPr>
        <w:t>] to a 6D representation using the method proposed by Zhou in [4], employing Eq</w:t>
      </w:r>
      <w:r>
        <w:rPr>
          <w:rFonts w:eastAsiaTheme="minorEastAsia"/>
        </w:rPr>
        <w:t xml:space="preserve"> S5</w:t>
      </w:r>
      <w:r w:rsidRPr="000E6AEC">
        <w:rPr>
          <w:rFonts w:eastAsiaTheme="minorEastAsia"/>
        </w:rPr>
        <w:t>. This conversion enables the representation of each rotation using six continuous parameters, facilitating the development of a data-driven model that predicts rotations. Additionally, it is noteworthy that this method can convert the 6D representation back to a 3D representation if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0E6AEC" w14:paraId="0B5F6FD0" w14:textId="77777777" w:rsidTr="00726EEF">
        <w:tc>
          <w:tcPr>
            <w:tcW w:w="8455" w:type="dxa"/>
            <w:vAlign w:val="center"/>
          </w:tcPr>
          <w:p w14:paraId="68F10D06" w14:textId="75D77CA2" w:rsidR="000E6AEC" w:rsidRPr="000E6AEC" w:rsidRDefault="000E6AEC" w:rsidP="000E6AEC">
            <w:pPr>
              <w:rPr>
                <w:rFonts w:eastAsiaTheme="minorEastAsia"/>
              </w:rPr>
            </w:pPr>
            <m:oMathPara>
              <m:oMath>
                <m:r>
                  <w:rPr>
                    <w:rFonts w:ascii="Cambria Math" w:eastAsiaTheme="minorEastAsia" w:hAnsi="Cambria Math"/>
                  </w:rPr>
                  <m:t xml:space="preserve">R=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m:t>
                              </m:r>
                            </m:sub>
                          </m:sSub>
                        </m:e>
                      </m:mr>
                    </m:m>
                  </m:e>
                </m:d>
                <m:r>
                  <w:rPr>
                    <w:rFonts w:ascii="Cambria Math" w:eastAsiaTheme="minorEastAsia" w:hAnsi="Cambria Math"/>
                  </w:rPr>
                  <m:t xml:space="preserve">      with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 xml:space="preserve">=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ctrlPr>
                                <w:rPr>
                                  <w:rFonts w:ascii="Cambria Math" w:eastAsia="Cambria Math" w:hAnsi="Cambria Math" w:cs="Cambria Math"/>
                                  <w:i/>
                                </w:rPr>
                              </m:ctrlPr>
                            </m:e>
                            <m:e>
                              <m:r>
                                <w:rPr>
                                  <w:rFonts w:ascii="Cambria Math" w:eastAsia="Cambria Math" w:hAnsi="Cambria Math" w:cs="Cambria Math"/>
                                </w:rPr>
                                <m:t>if i = 1</m:t>
                              </m:r>
                              <m:ctrlPr>
                                <w:rPr>
                                  <w:rFonts w:ascii="Cambria Math" w:eastAsia="Cambria Math" w:hAnsi="Cambria Math" w:cs="Cambria Math"/>
                                  <w:i/>
                                </w:rPr>
                              </m:ctrlPr>
                            </m:e>
                          </m:mr>
                          <m:mr>
                            <m:e>
                              <m:r>
                                <w:rPr>
                                  <w:rFonts w:ascii="Cambria Math" w:eastAsia="Cambria Math" w:hAnsi="Cambria Math" w:cs="Cambria Math"/>
                                </w:rPr>
                                <m:t>N</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e>
                                  </m:d>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sub>
                                  </m:sSub>
                                </m:e>
                              </m:d>
                            </m:e>
                            <m:e>
                              <m:r>
                                <w:rPr>
                                  <w:rFonts w:ascii="Cambria Math" w:eastAsiaTheme="minorEastAsia" w:hAnsi="Cambria Math"/>
                                </w:rPr>
                                <m:t>if i = 2</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 xml:space="preserve">1 </m:t>
                                  </m:r>
                                </m:sub>
                              </m:sSub>
                              <m:r>
                                <w:rPr>
                                  <w:rFonts w:ascii="Times New Roman" w:eastAsia="Cambria Math" w:hAnsi="Times New Roman" w:cs="Times New Roman"/>
                                </w:rPr>
                                <m:t>Ⅹ</m:t>
                              </m:r>
                              <m:sSub>
                                <m:sSubPr>
                                  <m:ctrlPr>
                                    <w:rPr>
                                      <w:rFonts w:ascii="Cambria Math" w:eastAsia="Cambria Math" w:hAnsi="Cambria Math" w:cs="Cambria Math"/>
                                      <w:i/>
                                    </w:rPr>
                                  </m:ctrlPr>
                                </m:sSubPr>
                                <m:e>
                                  <m:r>
                                    <w:rPr>
                                      <w:rFonts w:ascii="Cambria Math" w:eastAsia="Cambria Math" w:hAnsi="Cambria Math" w:cs="Cambria Math"/>
                                    </w:rPr>
                                    <m:t xml:space="preserve"> b</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if i = 3</m:t>
                              </m:r>
                            </m:e>
                          </m:mr>
                        </m:m>
                      </m:e>
                    </m:d>
                  </m:e>
                  <m:sup>
                    <m:r>
                      <w:rPr>
                        <w:rFonts w:ascii="Cambria Math" w:eastAsiaTheme="minorEastAsia" w:hAnsi="Cambria Math"/>
                      </w:rPr>
                      <m:t>T</m:t>
                    </m:r>
                  </m:sup>
                </m:sSup>
                <m:r>
                  <w:rPr>
                    <w:rFonts w:ascii="Cambria Math" w:eastAsiaTheme="minorEastAsia" w:hAnsi="Cambria Math"/>
                  </w:rPr>
                  <m:t xml:space="preserve"> </m:t>
                </m:r>
              </m:oMath>
            </m:oMathPara>
          </w:p>
        </w:tc>
        <w:tc>
          <w:tcPr>
            <w:tcW w:w="895" w:type="dxa"/>
            <w:vAlign w:val="center"/>
          </w:tcPr>
          <w:p w14:paraId="028D8CCE" w14:textId="1FC65E82" w:rsidR="000E6AEC" w:rsidRDefault="000E6AEC" w:rsidP="00726EEF">
            <w:pPr>
              <w:jc w:val="center"/>
            </w:pPr>
            <w:r>
              <w:t>(S5)</w:t>
            </w:r>
          </w:p>
        </w:tc>
      </w:tr>
    </w:tbl>
    <w:p w14:paraId="00FF9B2F" w14:textId="77777777" w:rsidR="000E6AEC" w:rsidRDefault="000E6AEC" w:rsidP="00E72AA0">
      <w:pPr>
        <w:rPr>
          <w:rFonts w:eastAsiaTheme="minorEastAsia"/>
        </w:rPr>
      </w:pPr>
    </w:p>
    <w:p w14:paraId="0F0498FA" w14:textId="1087FFB5" w:rsidR="00057E4A" w:rsidRDefault="00057E4A" w:rsidP="00057E4A">
      <w:pPr>
        <w:rPr>
          <w:rFonts w:eastAsiaTheme="minorEastAsia"/>
        </w:rPr>
      </w:pPr>
      <w:r w:rsidRPr="00057E4A">
        <w:rPr>
          <w:rFonts w:eastAsiaTheme="minorEastAsia"/>
        </w:rPr>
        <w:t xml:space="preserve">where </w:t>
      </w:r>
      <w:r w:rsidRPr="00057E4A">
        <w:rPr>
          <w:rFonts w:eastAsiaTheme="minorEastAsia"/>
          <w:i/>
          <w:iCs/>
        </w:rPr>
        <w:t>N</w:t>
      </w:r>
      <w:r w:rsidRPr="00057E4A">
        <w:rPr>
          <w:rFonts w:eastAsiaTheme="minorEastAsia"/>
        </w:rPr>
        <w:t xml:space="preserve">(.) is a normalization function, and both </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oMath>
      <w:r w:rsidRPr="00057E4A">
        <w:rPr>
          <w:rFonts w:eastAsiaTheme="minorEastAsia"/>
        </w:rPr>
        <w:t xml:space="preserve"> </w:t>
      </w:r>
      <w:r w:rsidRPr="00057E4A">
        <w:rPr>
          <w:rFonts w:ascii="Cambria Math" w:eastAsiaTheme="minorEastAsia" w:hAnsi="Cambria Math" w:cs="Cambria Math"/>
        </w:rPr>
        <w:t>∈</w:t>
      </w:r>
      <w:r w:rsidRPr="00057E4A">
        <w:rPr>
          <w:rFonts w:eastAsiaTheme="minorEastAsia"/>
        </w:rPr>
        <w:t xml:space="preserve"> </w:t>
      </w:r>
      <m:oMath>
        <m:sSup>
          <m:sSupPr>
            <m:ctrlPr>
              <w:rPr>
                <w:rFonts w:ascii="Cambria Math" w:eastAsiaTheme="minorEastAsia" w:hAnsi="Cambria Math"/>
                <w:i/>
              </w:rPr>
            </m:ctrlPr>
          </m:sSupPr>
          <m:e>
            <m:r>
              <m:rPr>
                <m:sty m:val="p"/>
              </m:rPr>
              <w:rPr>
                <w:rFonts w:ascii="Cambria Math" w:eastAsiaTheme="minorEastAsia" w:hAnsi="Cambria Math"/>
              </w:rPr>
              <m:t>R</m:t>
            </m:r>
          </m:e>
          <m:sup>
            <m:r>
              <w:rPr>
                <w:rFonts w:ascii="Cambria Math" w:eastAsiaTheme="minorEastAsia" w:hAnsi="Cambria Math"/>
              </w:rPr>
              <m:t>3</m:t>
            </m:r>
          </m:sup>
        </m:sSup>
      </m:oMath>
      <w:r w:rsidRPr="00057E4A">
        <w:rPr>
          <w:rFonts w:eastAsiaTheme="minorEastAsia"/>
        </w:rPr>
        <w:t xml:space="preserve"> correspond to the mentioned 6D</w:t>
      </w:r>
      <w:r>
        <w:rPr>
          <w:rFonts w:eastAsiaTheme="minorEastAsia"/>
        </w:rPr>
        <w:t xml:space="preserve"> </w:t>
      </w:r>
      <w:r w:rsidRPr="00057E4A">
        <w:rPr>
          <w:rFonts w:eastAsiaTheme="minorEastAsia"/>
        </w:rPr>
        <w:t>representation [</w:t>
      </w:r>
      <w:r w:rsidR="00294D95">
        <w:rPr>
          <w:rFonts w:eastAsiaTheme="minorEastAsia"/>
        </w:rPr>
        <w:t>4</w:t>
      </w:r>
      <w:r w:rsidRPr="00057E4A">
        <w:rPr>
          <w:rFonts w:eastAsiaTheme="minorEastAsia"/>
        </w:rPr>
        <w:t>]</w:t>
      </w:r>
    </w:p>
    <w:p w14:paraId="5221C45C" w14:textId="001F2F35" w:rsidR="00375EAE" w:rsidRDefault="00375EAE" w:rsidP="00057E4A">
      <w:pPr>
        <w:rPr>
          <w:rFonts w:cstheme="majorBidi"/>
          <w:b/>
          <w:bCs/>
          <w:szCs w:val="24"/>
          <w:shd w:val="clear" w:color="auto" w:fill="FFFFFF"/>
        </w:rPr>
      </w:pPr>
      <w:r w:rsidRPr="00375EAE">
        <w:rPr>
          <w:rFonts w:cstheme="majorBidi"/>
          <w:b/>
          <w:bCs/>
          <w:szCs w:val="24"/>
          <w:shd w:val="clear" w:color="auto" w:fill="FFFFFF"/>
        </w:rPr>
        <w:t>Dataset Space of Properties</w:t>
      </w:r>
    </w:p>
    <w:p w14:paraId="1455EB12" w14:textId="394801D4" w:rsidR="007B5F26" w:rsidRDefault="007B5F26" w:rsidP="007B5F26">
      <w:pPr>
        <w:keepNext/>
      </w:pPr>
      <w:r>
        <w:rPr>
          <w:rFonts w:eastAsiaTheme="minorEastAsia" w:cstheme="majorBidi"/>
        </w:rPr>
        <w:fldChar w:fldCharType="begin"/>
      </w:r>
      <w:r>
        <w:rPr>
          <w:rFonts w:eastAsiaTheme="minorEastAsia" w:cstheme="majorBidi"/>
        </w:rPr>
        <w:instrText xml:space="preserve"> REF _Ref132244683 \h </w:instrText>
      </w:r>
      <w:r>
        <w:rPr>
          <w:rFonts w:eastAsiaTheme="minorEastAsia" w:cstheme="majorBidi"/>
        </w:rPr>
      </w:r>
      <w:r>
        <w:rPr>
          <w:rFonts w:eastAsiaTheme="minorEastAsia" w:cstheme="majorBidi"/>
        </w:rPr>
        <w:fldChar w:fldCharType="separate"/>
      </w:r>
      <w:r>
        <w:t xml:space="preserve">Supplementary Fig </w:t>
      </w:r>
      <w:r>
        <w:rPr>
          <w:noProof/>
        </w:rPr>
        <w:t>4</w:t>
      </w:r>
      <w:r>
        <w:rPr>
          <w:rFonts w:eastAsiaTheme="minorEastAsia" w:cstheme="majorBidi"/>
        </w:rPr>
        <w:fldChar w:fldCharType="end"/>
      </w:r>
      <w:r>
        <w:rPr>
          <w:rFonts w:eastAsiaTheme="minorEastAsia" w:cstheme="majorBidi"/>
        </w:rPr>
        <w:t xml:space="preserve"> </w:t>
      </w:r>
      <w:r w:rsidRPr="007B5F26">
        <w:rPr>
          <w:rFonts w:eastAsiaTheme="minorEastAsia" w:cstheme="majorBidi"/>
        </w:rPr>
        <w:t xml:space="preserve">and </w:t>
      </w:r>
      <w:r>
        <w:rPr>
          <w:rFonts w:eastAsiaTheme="minorEastAsia" w:cstheme="majorBidi"/>
        </w:rPr>
        <w:fldChar w:fldCharType="begin"/>
      </w:r>
      <w:r>
        <w:rPr>
          <w:rFonts w:eastAsiaTheme="minorEastAsia" w:cstheme="majorBidi"/>
        </w:rPr>
        <w:instrText xml:space="preserve"> REF _Ref132244690 \h </w:instrText>
      </w:r>
      <w:r>
        <w:rPr>
          <w:rFonts w:eastAsiaTheme="minorEastAsia" w:cstheme="majorBidi"/>
        </w:rPr>
      </w:r>
      <w:r>
        <w:rPr>
          <w:rFonts w:eastAsiaTheme="minorEastAsia" w:cstheme="majorBidi"/>
        </w:rPr>
        <w:fldChar w:fldCharType="separate"/>
      </w:r>
      <w:r>
        <w:t xml:space="preserve">Supplementary Fig </w:t>
      </w:r>
      <w:r>
        <w:rPr>
          <w:noProof/>
        </w:rPr>
        <w:t>5</w:t>
      </w:r>
      <w:r>
        <w:rPr>
          <w:rFonts w:eastAsiaTheme="minorEastAsia" w:cstheme="majorBidi"/>
        </w:rPr>
        <w:fldChar w:fldCharType="end"/>
      </w:r>
      <w:r>
        <w:rPr>
          <w:rFonts w:eastAsiaTheme="minorEastAsia" w:cstheme="majorBidi"/>
        </w:rPr>
        <w:t xml:space="preserve"> </w:t>
      </w:r>
      <w:r w:rsidRPr="007B5F26">
        <w:rPr>
          <w:rFonts w:eastAsiaTheme="minorEastAsia" w:cstheme="majorBidi"/>
        </w:rPr>
        <w:t>illustrate the variations in the</w:t>
      </w:r>
      <w:r w:rsidR="00226801">
        <w:rPr>
          <w:rFonts w:eastAsiaTheme="minorEastAsia" w:cstheme="majorBidi"/>
        </w:rPr>
        <w:t xml:space="preserve"> elastic</w:t>
      </w:r>
      <w:r w:rsidRPr="007B5F26">
        <w:rPr>
          <w:rFonts w:eastAsiaTheme="minorEastAsia" w:cstheme="majorBidi"/>
        </w:rPr>
        <w:t xml:space="preserve"> property range of our dataset pre and post the application of rotation. Our efforts have culminated in the establishment of a training dataset featuring multiple elastic behaviors, which will be utilized for the training of our inverse design algorithm. The dataset has been parametrized through 11 distinct parameters, encompassing truss thickness (r), offset along the second edge of the tetrahedron (</w:t>
      </w:r>
      <w:r w:rsidRPr="00226801">
        <w:rPr>
          <w:rFonts w:eastAsiaTheme="minorEastAsia" w:cstheme="majorBidi"/>
          <w:i/>
          <w:iCs/>
        </w:rPr>
        <w:t>w</w:t>
      </w:r>
      <w:r w:rsidRPr="00226801">
        <w:rPr>
          <w:rFonts w:eastAsiaTheme="minorEastAsia" w:cstheme="majorBidi"/>
          <w:vertAlign w:val="subscript"/>
        </w:rPr>
        <w:t>2</w:t>
      </w:r>
      <w:r w:rsidRPr="007B5F26">
        <w:rPr>
          <w:rFonts w:eastAsiaTheme="minorEastAsia" w:cstheme="majorBidi"/>
        </w:rPr>
        <w:t>), and the node's location on the tetrahedron's third surface (</w:t>
      </w:r>
      <w:r w:rsidRPr="00226801">
        <w:rPr>
          <w:rFonts w:eastAsiaTheme="minorEastAsia" w:cstheme="majorBidi"/>
          <w:i/>
          <w:iCs/>
        </w:rPr>
        <w:t>w</w:t>
      </w:r>
      <w:r w:rsidRPr="00226801">
        <w:rPr>
          <w:rFonts w:eastAsiaTheme="minorEastAsia" w:cstheme="majorBidi"/>
          <w:vertAlign w:val="subscript"/>
        </w:rPr>
        <w:t>31</w:t>
      </w:r>
      <w:r w:rsidRPr="007B5F26">
        <w:rPr>
          <w:rFonts w:eastAsiaTheme="minorEastAsia" w:cstheme="majorBidi"/>
        </w:rPr>
        <w:t xml:space="preserve">, </w:t>
      </w:r>
      <w:r w:rsidRPr="00226801">
        <w:rPr>
          <w:rFonts w:eastAsiaTheme="minorEastAsia" w:cstheme="majorBidi"/>
          <w:i/>
          <w:iCs/>
        </w:rPr>
        <w:t>w</w:t>
      </w:r>
      <w:r w:rsidRPr="00226801">
        <w:rPr>
          <w:rFonts w:eastAsiaTheme="minorEastAsia" w:cstheme="majorBidi"/>
          <w:vertAlign w:val="subscript"/>
        </w:rPr>
        <w:t>32</w:t>
      </w:r>
      <w:r w:rsidRPr="007B5F26">
        <w:rPr>
          <w:rFonts w:eastAsiaTheme="minorEastAsia" w:cstheme="majorBidi"/>
        </w:rPr>
        <w:t xml:space="preserve">, </w:t>
      </w:r>
      <w:r w:rsidRPr="00226801">
        <w:rPr>
          <w:rFonts w:eastAsiaTheme="minorEastAsia" w:cstheme="majorBidi"/>
          <w:i/>
          <w:iCs/>
        </w:rPr>
        <w:t>w</w:t>
      </w:r>
      <w:r w:rsidRPr="00226801">
        <w:rPr>
          <w:rFonts w:eastAsiaTheme="minorEastAsia" w:cstheme="majorBidi"/>
          <w:vertAlign w:val="subscript"/>
        </w:rPr>
        <w:t>33</w:t>
      </w:r>
      <w:r w:rsidRPr="007B5F26">
        <w:rPr>
          <w:rFonts w:eastAsiaTheme="minorEastAsia" w:cstheme="majorBidi"/>
        </w:rPr>
        <w:t>). Additionally, the dataset has been augmented with 6D rotational parameters (RR</w:t>
      </w:r>
      <w:r w:rsidRPr="00226801">
        <w:rPr>
          <w:rFonts w:eastAsiaTheme="minorEastAsia" w:cstheme="majorBidi"/>
          <w:vertAlign w:val="subscript"/>
        </w:rPr>
        <w:t>1</w:t>
      </w:r>
      <w:r w:rsidRPr="007B5F26">
        <w:rPr>
          <w:rFonts w:eastAsiaTheme="minorEastAsia" w:cstheme="majorBidi"/>
        </w:rPr>
        <w:t>, RR</w:t>
      </w:r>
      <w:r w:rsidRPr="00226801">
        <w:rPr>
          <w:rFonts w:eastAsiaTheme="minorEastAsia" w:cstheme="majorBidi"/>
          <w:vertAlign w:val="subscript"/>
        </w:rPr>
        <w:t>2</w:t>
      </w:r>
      <w:r w:rsidRPr="007B5F26">
        <w:rPr>
          <w:rFonts w:eastAsiaTheme="minorEastAsia" w:cstheme="majorBidi"/>
        </w:rPr>
        <w:t>, RR</w:t>
      </w:r>
      <w:r w:rsidRPr="00226801">
        <w:rPr>
          <w:rFonts w:eastAsiaTheme="minorEastAsia" w:cstheme="majorBidi"/>
          <w:vertAlign w:val="subscript"/>
        </w:rPr>
        <w:t>3</w:t>
      </w:r>
      <w:r w:rsidRPr="007B5F26">
        <w:rPr>
          <w:rFonts w:eastAsiaTheme="minorEastAsia" w:cstheme="majorBidi"/>
        </w:rPr>
        <w:t xml:space="preserve">, </w:t>
      </w:r>
      <w:r w:rsidRPr="007B5F26">
        <w:rPr>
          <w:rFonts w:eastAsiaTheme="minorEastAsia" w:cstheme="majorBidi"/>
        </w:rPr>
        <w:lastRenderedPageBreak/>
        <w:t>RR</w:t>
      </w:r>
      <w:r w:rsidRPr="00226801">
        <w:rPr>
          <w:rFonts w:eastAsiaTheme="minorEastAsia" w:cstheme="majorBidi"/>
          <w:vertAlign w:val="subscript"/>
        </w:rPr>
        <w:t>4</w:t>
      </w:r>
      <w:r w:rsidRPr="007B5F26">
        <w:rPr>
          <w:rFonts w:eastAsiaTheme="minorEastAsia" w:cstheme="majorBidi"/>
        </w:rPr>
        <w:t>, RR</w:t>
      </w:r>
      <w:r w:rsidRPr="00226801">
        <w:rPr>
          <w:rFonts w:eastAsiaTheme="minorEastAsia" w:cstheme="majorBidi"/>
          <w:vertAlign w:val="subscript"/>
        </w:rPr>
        <w:t>5</w:t>
      </w:r>
      <w:r w:rsidRPr="007B5F26">
        <w:rPr>
          <w:rFonts w:eastAsiaTheme="minorEastAsia" w:cstheme="majorBidi"/>
        </w:rPr>
        <w:t>, and RR</w:t>
      </w:r>
      <w:r w:rsidRPr="00226801">
        <w:rPr>
          <w:rFonts w:eastAsiaTheme="minorEastAsia" w:cstheme="majorBidi"/>
          <w:vertAlign w:val="subscript"/>
        </w:rPr>
        <w:t>6</w:t>
      </w:r>
      <w:r w:rsidRPr="007B5F26">
        <w:rPr>
          <w:rFonts w:eastAsiaTheme="minorEastAsia" w:cstheme="majorBidi"/>
        </w:rPr>
        <w:t>).</w:t>
      </w:r>
      <w:r>
        <w:rPr>
          <w:rFonts w:eastAsiaTheme="minorEastAsia" w:cstheme="majorBidi"/>
          <w:noProof/>
        </w:rPr>
        <w:drawing>
          <wp:inline distT="0" distB="0" distL="0" distR="0" wp14:anchorId="44BA791D" wp14:editId="3A3B77BB">
            <wp:extent cx="4800600" cy="201723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1259" cy="2021715"/>
                    </a:xfrm>
                    <a:prstGeom prst="rect">
                      <a:avLst/>
                    </a:prstGeom>
                  </pic:spPr>
                </pic:pic>
              </a:graphicData>
            </a:graphic>
          </wp:inline>
        </w:drawing>
      </w:r>
    </w:p>
    <w:p w14:paraId="3F27C3E5" w14:textId="103B12D6" w:rsidR="007B5F26" w:rsidRDefault="007B5F26" w:rsidP="007B5F26">
      <w:pPr>
        <w:pStyle w:val="Caption"/>
        <w:jc w:val="center"/>
      </w:pPr>
      <w:bookmarkStart w:id="3" w:name="_Ref132244683"/>
      <w:r>
        <w:t xml:space="preserve">Supplementary Fig </w:t>
      </w:r>
      <w:fldSimple w:instr=" SEQ Supplementary_Fig \* ARABIC ">
        <w:r w:rsidR="00EE3D9E">
          <w:rPr>
            <w:noProof/>
          </w:rPr>
          <w:t>4</w:t>
        </w:r>
      </w:fldSimple>
      <w:bookmarkEnd w:id="3"/>
      <w:r>
        <w:t>: Effective Shear Modulus space along the unit-cell axes: A- Cubic configurations without</w:t>
      </w:r>
    </w:p>
    <w:p w14:paraId="7423ABFA" w14:textId="77777777" w:rsidR="007B5F26" w:rsidRDefault="007B5F26" w:rsidP="007B5F26">
      <w:pPr>
        <w:keepNext/>
        <w:jc w:val="center"/>
      </w:pPr>
      <w:r>
        <w:rPr>
          <w:rFonts w:eastAsiaTheme="minorEastAsia" w:cstheme="majorBidi"/>
          <w:noProof/>
        </w:rPr>
        <w:drawing>
          <wp:inline distT="0" distB="0" distL="0" distR="0" wp14:anchorId="643569ED" wp14:editId="6C8B3998">
            <wp:extent cx="4716780" cy="3818778"/>
            <wp:effectExtent l="0" t="0" r="7620" b="0"/>
            <wp:docPr id="5" name="Picture 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urfac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21096" cy="3822272"/>
                    </a:xfrm>
                    <a:prstGeom prst="rect">
                      <a:avLst/>
                    </a:prstGeom>
                  </pic:spPr>
                </pic:pic>
              </a:graphicData>
            </a:graphic>
          </wp:inline>
        </w:drawing>
      </w:r>
    </w:p>
    <w:p w14:paraId="3299C66F" w14:textId="39E32E97" w:rsidR="007B5F26" w:rsidRDefault="007B5F26" w:rsidP="007B5F26">
      <w:pPr>
        <w:pStyle w:val="Caption"/>
        <w:jc w:val="center"/>
      </w:pPr>
      <w:bookmarkStart w:id="4" w:name="_Ref132244690"/>
      <w:r>
        <w:t xml:space="preserve">Supplementary Fig </w:t>
      </w:r>
      <w:fldSimple w:instr=" SEQ Supplementary_Fig \* ARABIC ">
        <w:r w:rsidR="00EE3D9E">
          <w:rPr>
            <w:noProof/>
          </w:rPr>
          <w:t>5</w:t>
        </w:r>
      </w:fldSimple>
      <w:bookmarkEnd w:id="4"/>
      <w:r>
        <w:t>: Effective Poisson’s ratio space along the unit-cell axes: A- Poisson’s ratio along the unit-cell axes for Cubic configurations without rotations, B: Poisson’s ratio along axes 1 and 2 when applying force along axis 3 for Cubic configurations after the rotations, C: Poisson’s ratio along axes 1 and 3 when applying force along axis 2 for Cubic configurations after the rotations, and D: C: Poisson’s ratio along axes 2 and 3 when applying force along axis 1 for Cubic configurations after the rotations.</w:t>
      </w:r>
    </w:p>
    <w:p w14:paraId="54AE223F" w14:textId="3048D627" w:rsidR="00EE13A8" w:rsidRDefault="00EE13A8" w:rsidP="00EE13A8">
      <w:pPr>
        <w:rPr>
          <w:b/>
          <w:bCs/>
        </w:rPr>
      </w:pPr>
      <w:r w:rsidRPr="00EE13A8">
        <w:rPr>
          <w:b/>
          <w:bCs/>
        </w:rPr>
        <w:t xml:space="preserve">Performance Results. </w:t>
      </w:r>
    </w:p>
    <w:p w14:paraId="0F7BCD89" w14:textId="7F40F6C1" w:rsidR="00EE13A8" w:rsidRDefault="006E6E2E" w:rsidP="006E6E2E">
      <w:pPr>
        <w:keepNext/>
      </w:pPr>
      <w:r>
        <w:lastRenderedPageBreak/>
        <w:fldChar w:fldCharType="begin"/>
      </w:r>
      <w:r>
        <w:instrText xml:space="preserve"> REF _Ref132581749 \h </w:instrText>
      </w:r>
      <w:r>
        <w:fldChar w:fldCharType="separate"/>
      </w:r>
      <w:r>
        <w:t xml:space="preserve">Supplementary Fig </w:t>
      </w:r>
      <w:r>
        <w:rPr>
          <w:noProof/>
        </w:rPr>
        <w:t>6</w:t>
      </w:r>
      <w:r>
        <w:fldChar w:fldCharType="end"/>
      </w:r>
      <w:r>
        <w:t xml:space="preserve"> </w:t>
      </w:r>
      <w:r w:rsidRPr="006E6E2E">
        <w:t>offers a comprehensive overview of the training history of our model, showcasing the dynamic changes in both training and testing loss for both inverse and forward models over the course of their training.</w:t>
      </w:r>
      <w:r w:rsidR="00EE13A8">
        <w:rPr>
          <w:noProof/>
        </w:rPr>
        <w:drawing>
          <wp:inline distT="0" distB="0" distL="0" distR="0" wp14:anchorId="29290977" wp14:editId="7635D71F">
            <wp:extent cx="5943600" cy="204470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44700"/>
                    </a:xfrm>
                    <a:prstGeom prst="rect">
                      <a:avLst/>
                    </a:prstGeom>
                  </pic:spPr>
                </pic:pic>
              </a:graphicData>
            </a:graphic>
          </wp:inline>
        </w:drawing>
      </w:r>
    </w:p>
    <w:p w14:paraId="3A4B3AEA" w14:textId="3FE3EC63" w:rsidR="00EE13A8" w:rsidRDefault="00EE13A8" w:rsidP="00EE13A8">
      <w:pPr>
        <w:pStyle w:val="Caption"/>
        <w:jc w:val="center"/>
      </w:pPr>
      <w:bookmarkStart w:id="5" w:name="_Ref132581749"/>
      <w:bookmarkStart w:id="6" w:name="_Ref132581744"/>
      <w:r>
        <w:t xml:space="preserve">Supplementary Fig </w:t>
      </w:r>
      <w:fldSimple w:instr=" SEQ Supplementary_Fig \* ARABIC ">
        <w:r w:rsidR="00EE3D9E">
          <w:rPr>
            <w:noProof/>
          </w:rPr>
          <w:t>6</w:t>
        </w:r>
      </w:fldSimple>
      <w:bookmarkEnd w:id="5"/>
      <w:r>
        <w:t>:  Training and testing loss plots of the PGNN: A. Forward loss plot, and B. Inverse</w:t>
      </w:r>
      <w:r w:rsidR="007B790F">
        <w:t>.</w:t>
      </w:r>
      <w:bookmarkEnd w:id="6"/>
    </w:p>
    <w:p w14:paraId="16168984" w14:textId="3CAC14E9" w:rsidR="005B24A3" w:rsidRDefault="001518F3" w:rsidP="005B24A3">
      <w:r>
        <w:t>In the main context of this paper, we displayed the accuracy of the C</w:t>
      </w:r>
      <w:r w:rsidRPr="00687585">
        <w:rPr>
          <w:vertAlign w:val="subscript"/>
        </w:rPr>
        <w:t>11</w:t>
      </w:r>
      <w:r>
        <w:t xml:space="preserve"> reconstruction in Fig</w:t>
      </w:r>
      <w:r w:rsidR="00BB5EF5">
        <w:t>. 5</w:t>
      </w:r>
      <w:r>
        <w:t xml:space="preserve">. </w:t>
      </w:r>
      <w:r w:rsidR="00687585">
        <w:fldChar w:fldCharType="begin"/>
      </w:r>
      <w:r w:rsidR="00687585">
        <w:instrText xml:space="preserve"> REF _Ref132581872 \h </w:instrText>
      </w:r>
      <w:r w:rsidR="00687585">
        <w:fldChar w:fldCharType="separate"/>
      </w:r>
      <w:r w:rsidR="00687585">
        <w:t xml:space="preserve">Supplementary Fig </w:t>
      </w:r>
      <w:r w:rsidR="00687585">
        <w:rPr>
          <w:noProof/>
        </w:rPr>
        <w:t>7</w:t>
      </w:r>
      <w:r w:rsidR="00687585">
        <w:fldChar w:fldCharType="end"/>
      </w:r>
      <w:r w:rsidR="00687585">
        <w:t xml:space="preserve"> </w:t>
      </w:r>
      <w:r w:rsidR="00687585" w:rsidRPr="00687585">
        <w:t xml:space="preserve">through </w:t>
      </w:r>
      <w:r w:rsidR="00687585">
        <w:fldChar w:fldCharType="begin"/>
      </w:r>
      <w:r w:rsidR="00687585">
        <w:instrText xml:space="preserve"> REF _Ref132581881 \h </w:instrText>
      </w:r>
      <w:r w:rsidR="00687585">
        <w:fldChar w:fldCharType="separate"/>
      </w:r>
      <w:r w:rsidR="00687585">
        <w:t xml:space="preserve">Supplementary Fig </w:t>
      </w:r>
      <w:r w:rsidR="00687585">
        <w:rPr>
          <w:noProof/>
        </w:rPr>
        <w:t>10</w:t>
      </w:r>
      <w:r w:rsidR="00687585">
        <w:fldChar w:fldCharType="end"/>
      </w:r>
      <w:r w:rsidR="00687585" w:rsidRPr="00687585">
        <w:t xml:space="preserve"> provide a comprehensive overview of the entire reconstruction accuracy, excluding C</w:t>
      </w:r>
      <w:r w:rsidR="00687585" w:rsidRPr="00687585">
        <w:rPr>
          <w:vertAlign w:val="subscript"/>
        </w:rPr>
        <w:t>11</w:t>
      </w:r>
      <w:r w:rsidR="00687585" w:rsidRPr="00687585">
        <w:t>, encompassing R</w:t>
      </w:r>
      <w:r w:rsidR="00687585" w:rsidRPr="00687585">
        <w:rPr>
          <w:vertAlign w:val="superscript"/>
        </w:rPr>
        <w:t>2</w:t>
      </w:r>
      <w:r w:rsidR="00687585" w:rsidRPr="00687585">
        <w:t xml:space="preserve"> values for both forward and inverse models and utilizing both training and testing data. Furthermore, </w:t>
      </w:r>
      <w:r w:rsidR="00687585">
        <w:fldChar w:fldCharType="begin"/>
      </w:r>
      <w:r w:rsidR="00687585">
        <w:instrText xml:space="preserve"> REF _Ref132581934 \h </w:instrText>
      </w:r>
      <w:r w:rsidR="00687585">
        <w:fldChar w:fldCharType="separate"/>
      </w:r>
      <w:r w:rsidR="00687585">
        <w:t xml:space="preserve">Supplementary Table </w:t>
      </w:r>
      <w:r w:rsidR="00687585">
        <w:rPr>
          <w:noProof/>
        </w:rPr>
        <w:t>1</w:t>
      </w:r>
      <w:r w:rsidR="00687585">
        <w:fldChar w:fldCharType="end"/>
      </w:r>
      <w:r w:rsidR="00687585">
        <w:t xml:space="preserve"> </w:t>
      </w:r>
      <w:r w:rsidR="00687585" w:rsidRPr="00687585">
        <w:t>provides a tabulated listing of all R</w:t>
      </w:r>
      <w:r w:rsidR="00687585" w:rsidRPr="00687585">
        <w:rPr>
          <w:vertAlign w:val="superscript"/>
        </w:rPr>
        <w:t>2</w:t>
      </w:r>
      <w:r w:rsidR="00687585" w:rsidRPr="00687585">
        <w:t xml:space="preserve"> values.</w:t>
      </w:r>
    </w:p>
    <w:p w14:paraId="0BEE2696" w14:textId="4C9BE514" w:rsidR="005B24A3" w:rsidRDefault="005B24A3" w:rsidP="005B24A3">
      <w:pPr>
        <w:pStyle w:val="Caption"/>
        <w:keepNext/>
      </w:pPr>
      <w:bookmarkStart w:id="7" w:name="_Ref132581934"/>
      <w:r>
        <w:t xml:space="preserve">Supplementary Table </w:t>
      </w:r>
      <w:fldSimple w:instr=" SEQ Supplementary_Table \* ARABIC ">
        <w:r>
          <w:rPr>
            <w:noProof/>
          </w:rPr>
          <w:t>1</w:t>
        </w:r>
      </w:fldSimple>
      <w:bookmarkEnd w:id="7"/>
      <w:r>
        <w:t>: Coefficient of determination R</w:t>
      </w:r>
      <w:r w:rsidRPr="005B24A3">
        <w:rPr>
          <w:vertAlign w:val="superscript"/>
        </w:rPr>
        <w:t>2</w:t>
      </w:r>
      <w:r>
        <w:t xml:space="preserve"> of all stiffness components for both the forward and the inverse model, the R</w:t>
      </w:r>
      <w:r w:rsidRPr="005B24A3">
        <w:rPr>
          <w:vertAlign w:val="superscript"/>
        </w:rPr>
        <w:t>2</w:t>
      </w:r>
      <w:r>
        <w:t xml:space="preserve"> is measured for both training and testing sets.</w:t>
      </w:r>
    </w:p>
    <w:tbl>
      <w:tblPr>
        <w:tblW w:w="5654" w:type="dxa"/>
        <w:jc w:val="center"/>
        <w:tblLook w:val="04A0" w:firstRow="1" w:lastRow="0" w:firstColumn="1" w:lastColumn="0" w:noHBand="0" w:noVBand="1"/>
      </w:tblPr>
      <w:tblGrid>
        <w:gridCol w:w="1124"/>
        <w:gridCol w:w="1176"/>
        <w:gridCol w:w="1089"/>
        <w:gridCol w:w="1176"/>
        <w:gridCol w:w="1089"/>
      </w:tblGrid>
      <w:tr w:rsidR="005B24A3" w:rsidRPr="005B24A3" w14:paraId="41DE44C6" w14:textId="77777777" w:rsidTr="005B24A3">
        <w:trPr>
          <w:trHeight w:val="476"/>
          <w:jc w:val="center"/>
        </w:trPr>
        <w:tc>
          <w:tcPr>
            <w:tcW w:w="1124" w:type="dxa"/>
            <w:shd w:val="clear" w:color="auto" w:fill="auto"/>
            <w:noWrap/>
            <w:vAlign w:val="center"/>
            <w:hideMark/>
          </w:tcPr>
          <w:p w14:paraId="38B1B4E6" w14:textId="2CDC8DEA" w:rsidR="005B24A3" w:rsidRPr="005B24A3" w:rsidRDefault="005B24A3" w:rsidP="005B24A3">
            <w:pPr>
              <w:spacing w:after="0" w:line="240" w:lineRule="auto"/>
              <w:rPr>
                <w:rFonts w:eastAsia="Times New Roman" w:cstheme="majorBidi"/>
                <w:color w:val="000000"/>
                <w:sz w:val="20"/>
                <w:szCs w:val="20"/>
              </w:rPr>
            </w:pPr>
          </w:p>
        </w:tc>
        <w:tc>
          <w:tcPr>
            <w:tcW w:w="1176" w:type="dxa"/>
            <w:shd w:val="clear" w:color="auto" w:fill="auto"/>
            <w:vAlign w:val="center"/>
            <w:hideMark/>
          </w:tcPr>
          <w:p w14:paraId="1475A909"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Forward (Training)</w:t>
            </w:r>
          </w:p>
        </w:tc>
        <w:tc>
          <w:tcPr>
            <w:tcW w:w="1089" w:type="dxa"/>
            <w:shd w:val="clear" w:color="auto" w:fill="auto"/>
            <w:vAlign w:val="center"/>
            <w:hideMark/>
          </w:tcPr>
          <w:p w14:paraId="00E26AB5"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Forward (Testing)</w:t>
            </w:r>
          </w:p>
        </w:tc>
        <w:tc>
          <w:tcPr>
            <w:tcW w:w="1176" w:type="dxa"/>
            <w:shd w:val="clear" w:color="auto" w:fill="auto"/>
            <w:vAlign w:val="center"/>
            <w:hideMark/>
          </w:tcPr>
          <w:p w14:paraId="09244A38"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Inverse (Training)</w:t>
            </w:r>
          </w:p>
        </w:tc>
        <w:tc>
          <w:tcPr>
            <w:tcW w:w="1089" w:type="dxa"/>
            <w:shd w:val="clear" w:color="auto" w:fill="auto"/>
            <w:vAlign w:val="center"/>
            <w:hideMark/>
          </w:tcPr>
          <w:p w14:paraId="503FFD1E"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Inverse (Testing)</w:t>
            </w:r>
          </w:p>
        </w:tc>
      </w:tr>
      <w:tr w:rsidR="005B24A3" w:rsidRPr="005B24A3" w14:paraId="47B74881" w14:textId="77777777" w:rsidTr="005B24A3">
        <w:trPr>
          <w:trHeight w:val="237"/>
          <w:jc w:val="center"/>
        </w:trPr>
        <w:tc>
          <w:tcPr>
            <w:tcW w:w="1124" w:type="dxa"/>
            <w:shd w:val="clear" w:color="auto" w:fill="auto"/>
            <w:noWrap/>
            <w:vAlign w:val="center"/>
            <w:hideMark/>
          </w:tcPr>
          <w:p w14:paraId="07012C10" w14:textId="71BA5F45" w:rsidR="005B24A3" w:rsidRPr="005B24A3" w:rsidRDefault="005B24A3" w:rsidP="005B24A3">
            <w:pPr>
              <w:spacing w:after="0" w:line="240" w:lineRule="auto"/>
              <w:jc w:val="center"/>
              <w:rPr>
                <w:rFonts w:eastAsia="Times New Roman" w:cstheme="majorBidi"/>
                <w:i/>
                <w:iCs/>
                <w:color w:val="000000"/>
                <w:sz w:val="20"/>
                <w:szCs w:val="20"/>
              </w:rPr>
            </w:pPr>
            <w:r w:rsidRPr="005B24A3">
              <w:rPr>
                <w:rFonts w:eastAsia="Times New Roman" w:cstheme="majorBidi"/>
                <w:i/>
                <w:iCs/>
                <w:color w:val="000000"/>
                <w:sz w:val="20"/>
                <w:szCs w:val="20"/>
              </w:rPr>
              <w:t>C</w:t>
            </w:r>
            <w:r w:rsidRPr="005B24A3">
              <w:rPr>
                <w:rFonts w:eastAsia="Times New Roman" w:cstheme="majorBidi"/>
                <w:i/>
                <w:iCs/>
                <w:color w:val="000000"/>
                <w:sz w:val="20"/>
                <w:szCs w:val="20"/>
                <w:vertAlign w:val="subscript"/>
              </w:rPr>
              <w:t>11</w:t>
            </w:r>
          </w:p>
        </w:tc>
        <w:tc>
          <w:tcPr>
            <w:tcW w:w="1176" w:type="dxa"/>
            <w:shd w:val="clear" w:color="auto" w:fill="auto"/>
            <w:noWrap/>
            <w:vAlign w:val="center"/>
            <w:hideMark/>
          </w:tcPr>
          <w:p w14:paraId="530403E7"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0.998</w:t>
            </w:r>
          </w:p>
        </w:tc>
        <w:tc>
          <w:tcPr>
            <w:tcW w:w="1089" w:type="dxa"/>
            <w:shd w:val="clear" w:color="auto" w:fill="auto"/>
            <w:noWrap/>
            <w:vAlign w:val="center"/>
            <w:hideMark/>
          </w:tcPr>
          <w:p w14:paraId="5C16A78F"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0.998</w:t>
            </w:r>
          </w:p>
        </w:tc>
        <w:tc>
          <w:tcPr>
            <w:tcW w:w="1176" w:type="dxa"/>
            <w:shd w:val="clear" w:color="auto" w:fill="auto"/>
            <w:noWrap/>
            <w:vAlign w:val="center"/>
            <w:hideMark/>
          </w:tcPr>
          <w:p w14:paraId="6C26EF57"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0.994</w:t>
            </w:r>
          </w:p>
        </w:tc>
        <w:tc>
          <w:tcPr>
            <w:tcW w:w="1089" w:type="dxa"/>
            <w:shd w:val="clear" w:color="auto" w:fill="auto"/>
            <w:noWrap/>
            <w:vAlign w:val="center"/>
            <w:hideMark/>
          </w:tcPr>
          <w:p w14:paraId="2CB8C701"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0.994</w:t>
            </w:r>
          </w:p>
        </w:tc>
      </w:tr>
      <w:tr w:rsidR="005B24A3" w:rsidRPr="005B24A3" w14:paraId="4CEC9AC3" w14:textId="77777777" w:rsidTr="005B24A3">
        <w:trPr>
          <w:trHeight w:val="237"/>
          <w:jc w:val="center"/>
        </w:trPr>
        <w:tc>
          <w:tcPr>
            <w:tcW w:w="1124" w:type="dxa"/>
            <w:shd w:val="clear" w:color="auto" w:fill="auto"/>
            <w:noWrap/>
            <w:vAlign w:val="center"/>
            <w:hideMark/>
          </w:tcPr>
          <w:p w14:paraId="5D656037" w14:textId="53F203F1" w:rsidR="005B24A3" w:rsidRPr="005B24A3" w:rsidRDefault="005B24A3" w:rsidP="005B24A3">
            <w:pPr>
              <w:spacing w:after="0" w:line="240" w:lineRule="auto"/>
              <w:jc w:val="center"/>
              <w:rPr>
                <w:rFonts w:eastAsia="Times New Roman" w:cstheme="majorBidi"/>
                <w:i/>
                <w:iCs/>
                <w:color w:val="000000"/>
                <w:sz w:val="20"/>
                <w:szCs w:val="20"/>
              </w:rPr>
            </w:pPr>
            <w:r w:rsidRPr="005B24A3">
              <w:rPr>
                <w:rFonts w:eastAsia="Times New Roman" w:cstheme="majorBidi"/>
                <w:i/>
                <w:iCs/>
                <w:color w:val="000000"/>
                <w:sz w:val="20"/>
                <w:szCs w:val="20"/>
              </w:rPr>
              <w:t>C</w:t>
            </w:r>
            <w:r w:rsidRPr="005B24A3">
              <w:rPr>
                <w:rFonts w:eastAsia="Times New Roman" w:cstheme="majorBidi"/>
                <w:i/>
                <w:iCs/>
                <w:color w:val="000000"/>
                <w:sz w:val="20"/>
                <w:szCs w:val="20"/>
                <w:vertAlign w:val="subscript"/>
              </w:rPr>
              <w:t>1</w:t>
            </w:r>
            <w:r w:rsidRPr="00FB5E20">
              <w:rPr>
                <w:rFonts w:eastAsia="Times New Roman" w:cstheme="majorBidi"/>
                <w:i/>
                <w:iCs/>
                <w:color w:val="000000"/>
                <w:sz w:val="20"/>
                <w:szCs w:val="20"/>
                <w:vertAlign w:val="subscript"/>
              </w:rPr>
              <w:t>2</w:t>
            </w:r>
          </w:p>
        </w:tc>
        <w:tc>
          <w:tcPr>
            <w:tcW w:w="1176" w:type="dxa"/>
            <w:shd w:val="clear" w:color="auto" w:fill="auto"/>
            <w:noWrap/>
            <w:vAlign w:val="center"/>
            <w:hideMark/>
          </w:tcPr>
          <w:p w14:paraId="152918A4"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0.996</w:t>
            </w:r>
          </w:p>
        </w:tc>
        <w:tc>
          <w:tcPr>
            <w:tcW w:w="1089" w:type="dxa"/>
            <w:shd w:val="clear" w:color="auto" w:fill="auto"/>
            <w:noWrap/>
            <w:vAlign w:val="center"/>
            <w:hideMark/>
          </w:tcPr>
          <w:p w14:paraId="64A30C50"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0.996</w:t>
            </w:r>
          </w:p>
        </w:tc>
        <w:tc>
          <w:tcPr>
            <w:tcW w:w="1176" w:type="dxa"/>
            <w:shd w:val="clear" w:color="auto" w:fill="auto"/>
            <w:noWrap/>
            <w:vAlign w:val="center"/>
            <w:hideMark/>
          </w:tcPr>
          <w:p w14:paraId="5E1C56DE"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0.988</w:t>
            </w:r>
          </w:p>
        </w:tc>
        <w:tc>
          <w:tcPr>
            <w:tcW w:w="1089" w:type="dxa"/>
            <w:shd w:val="clear" w:color="auto" w:fill="auto"/>
            <w:noWrap/>
            <w:vAlign w:val="center"/>
            <w:hideMark/>
          </w:tcPr>
          <w:p w14:paraId="003D5B85"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0.988</w:t>
            </w:r>
          </w:p>
        </w:tc>
      </w:tr>
      <w:tr w:rsidR="005B24A3" w:rsidRPr="005B24A3" w14:paraId="3AD91582" w14:textId="77777777" w:rsidTr="005B24A3">
        <w:trPr>
          <w:trHeight w:val="237"/>
          <w:jc w:val="center"/>
        </w:trPr>
        <w:tc>
          <w:tcPr>
            <w:tcW w:w="1124" w:type="dxa"/>
            <w:shd w:val="clear" w:color="auto" w:fill="auto"/>
            <w:noWrap/>
            <w:vAlign w:val="center"/>
            <w:hideMark/>
          </w:tcPr>
          <w:p w14:paraId="2BFA1371" w14:textId="5572FFFA" w:rsidR="005B24A3" w:rsidRPr="005B24A3" w:rsidRDefault="005B24A3" w:rsidP="005B24A3">
            <w:pPr>
              <w:spacing w:after="0" w:line="240" w:lineRule="auto"/>
              <w:jc w:val="center"/>
              <w:rPr>
                <w:rFonts w:eastAsia="Times New Roman" w:cstheme="majorBidi"/>
                <w:i/>
                <w:iCs/>
                <w:color w:val="000000"/>
                <w:sz w:val="20"/>
                <w:szCs w:val="20"/>
              </w:rPr>
            </w:pPr>
            <w:r w:rsidRPr="005B24A3">
              <w:rPr>
                <w:rFonts w:eastAsia="Times New Roman" w:cstheme="majorBidi"/>
                <w:i/>
                <w:iCs/>
                <w:color w:val="000000"/>
                <w:sz w:val="20"/>
                <w:szCs w:val="20"/>
              </w:rPr>
              <w:t>C</w:t>
            </w:r>
            <w:r w:rsidRPr="005B24A3">
              <w:rPr>
                <w:rFonts w:eastAsia="Times New Roman" w:cstheme="majorBidi"/>
                <w:i/>
                <w:iCs/>
                <w:color w:val="000000"/>
                <w:sz w:val="20"/>
                <w:szCs w:val="20"/>
                <w:vertAlign w:val="subscript"/>
              </w:rPr>
              <w:t>1</w:t>
            </w:r>
            <w:r w:rsidRPr="00FB5E20">
              <w:rPr>
                <w:rFonts w:eastAsia="Times New Roman" w:cstheme="majorBidi"/>
                <w:i/>
                <w:iCs/>
                <w:color w:val="000000"/>
                <w:sz w:val="20"/>
                <w:szCs w:val="20"/>
                <w:vertAlign w:val="subscript"/>
              </w:rPr>
              <w:t>3</w:t>
            </w:r>
          </w:p>
        </w:tc>
        <w:tc>
          <w:tcPr>
            <w:tcW w:w="1176" w:type="dxa"/>
            <w:shd w:val="clear" w:color="auto" w:fill="auto"/>
            <w:noWrap/>
            <w:vAlign w:val="center"/>
            <w:hideMark/>
          </w:tcPr>
          <w:p w14:paraId="33C8ADCB"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0.996</w:t>
            </w:r>
          </w:p>
        </w:tc>
        <w:tc>
          <w:tcPr>
            <w:tcW w:w="1089" w:type="dxa"/>
            <w:shd w:val="clear" w:color="auto" w:fill="auto"/>
            <w:noWrap/>
            <w:vAlign w:val="center"/>
            <w:hideMark/>
          </w:tcPr>
          <w:p w14:paraId="34C0131F"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0.996</w:t>
            </w:r>
          </w:p>
        </w:tc>
        <w:tc>
          <w:tcPr>
            <w:tcW w:w="1176" w:type="dxa"/>
            <w:shd w:val="clear" w:color="auto" w:fill="auto"/>
            <w:noWrap/>
            <w:vAlign w:val="center"/>
            <w:hideMark/>
          </w:tcPr>
          <w:p w14:paraId="47AA65F3"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0.988</w:t>
            </w:r>
          </w:p>
        </w:tc>
        <w:tc>
          <w:tcPr>
            <w:tcW w:w="1089" w:type="dxa"/>
            <w:shd w:val="clear" w:color="auto" w:fill="auto"/>
            <w:noWrap/>
            <w:vAlign w:val="center"/>
            <w:hideMark/>
          </w:tcPr>
          <w:p w14:paraId="6F160560"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0.988</w:t>
            </w:r>
          </w:p>
        </w:tc>
      </w:tr>
      <w:tr w:rsidR="005B24A3" w:rsidRPr="005B24A3" w14:paraId="0311622A" w14:textId="77777777" w:rsidTr="005B24A3">
        <w:trPr>
          <w:trHeight w:val="237"/>
          <w:jc w:val="center"/>
        </w:trPr>
        <w:tc>
          <w:tcPr>
            <w:tcW w:w="1124" w:type="dxa"/>
            <w:shd w:val="clear" w:color="auto" w:fill="auto"/>
            <w:noWrap/>
            <w:vAlign w:val="center"/>
            <w:hideMark/>
          </w:tcPr>
          <w:p w14:paraId="351AE9C7" w14:textId="504782B1" w:rsidR="005B24A3" w:rsidRPr="005B24A3" w:rsidRDefault="005B24A3" w:rsidP="005B24A3">
            <w:pPr>
              <w:spacing w:after="0" w:line="240" w:lineRule="auto"/>
              <w:jc w:val="center"/>
              <w:rPr>
                <w:rFonts w:eastAsia="Times New Roman" w:cstheme="majorBidi"/>
                <w:i/>
                <w:iCs/>
                <w:color w:val="000000"/>
                <w:sz w:val="20"/>
                <w:szCs w:val="20"/>
              </w:rPr>
            </w:pPr>
            <w:r w:rsidRPr="005B24A3">
              <w:rPr>
                <w:rFonts w:eastAsia="Times New Roman" w:cstheme="majorBidi"/>
                <w:i/>
                <w:iCs/>
                <w:color w:val="000000"/>
                <w:sz w:val="20"/>
                <w:szCs w:val="20"/>
              </w:rPr>
              <w:t>C</w:t>
            </w:r>
            <w:r w:rsidRPr="005B24A3">
              <w:rPr>
                <w:rFonts w:eastAsia="Times New Roman" w:cstheme="majorBidi"/>
                <w:i/>
                <w:iCs/>
                <w:color w:val="000000"/>
                <w:sz w:val="20"/>
                <w:szCs w:val="20"/>
                <w:vertAlign w:val="subscript"/>
              </w:rPr>
              <w:t>1</w:t>
            </w:r>
            <w:r w:rsidRPr="00FB5E20">
              <w:rPr>
                <w:rFonts w:eastAsia="Times New Roman" w:cstheme="majorBidi"/>
                <w:i/>
                <w:iCs/>
                <w:color w:val="000000"/>
                <w:sz w:val="20"/>
                <w:szCs w:val="20"/>
                <w:vertAlign w:val="subscript"/>
              </w:rPr>
              <w:t>4</w:t>
            </w:r>
          </w:p>
        </w:tc>
        <w:tc>
          <w:tcPr>
            <w:tcW w:w="1176" w:type="dxa"/>
            <w:shd w:val="clear" w:color="auto" w:fill="auto"/>
            <w:noWrap/>
            <w:vAlign w:val="center"/>
            <w:hideMark/>
          </w:tcPr>
          <w:p w14:paraId="6487510E"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0.987</w:t>
            </w:r>
          </w:p>
        </w:tc>
        <w:tc>
          <w:tcPr>
            <w:tcW w:w="1089" w:type="dxa"/>
            <w:shd w:val="clear" w:color="auto" w:fill="auto"/>
            <w:noWrap/>
            <w:vAlign w:val="center"/>
            <w:hideMark/>
          </w:tcPr>
          <w:p w14:paraId="363D7727"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0.987</w:t>
            </w:r>
          </w:p>
        </w:tc>
        <w:tc>
          <w:tcPr>
            <w:tcW w:w="1176" w:type="dxa"/>
            <w:shd w:val="clear" w:color="auto" w:fill="auto"/>
            <w:noWrap/>
            <w:vAlign w:val="center"/>
            <w:hideMark/>
          </w:tcPr>
          <w:p w14:paraId="6F10F0AD"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0.95</w:t>
            </w:r>
          </w:p>
        </w:tc>
        <w:tc>
          <w:tcPr>
            <w:tcW w:w="1089" w:type="dxa"/>
            <w:shd w:val="clear" w:color="auto" w:fill="auto"/>
            <w:noWrap/>
            <w:vAlign w:val="center"/>
            <w:hideMark/>
          </w:tcPr>
          <w:p w14:paraId="77EE110F"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0.951</w:t>
            </w:r>
          </w:p>
        </w:tc>
      </w:tr>
      <w:tr w:rsidR="005B24A3" w:rsidRPr="005B24A3" w14:paraId="1522B017" w14:textId="77777777" w:rsidTr="005B24A3">
        <w:trPr>
          <w:trHeight w:val="237"/>
          <w:jc w:val="center"/>
        </w:trPr>
        <w:tc>
          <w:tcPr>
            <w:tcW w:w="1124" w:type="dxa"/>
            <w:shd w:val="clear" w:color="auto" w:fill="auto"/>
            <w:noWrap/>
            <w:vAlign w:val="center"/>
            <w:hideMark/>
          </w:tcPr>
          <w:p w14:paraId="4CEFA685" w14:textId="0FA13C5A" w:rsidR="005B24A3" w:rsidRPr="005B24A3" w:rsidRDefault="005B24A3" w:rsidP="005B24A3">
            <w:pPr>
              <w:spacing w:after="0" w:line="240" w:lineRule="auto"/>
              <w:jc w:val="center"/>
              <w:rPr>
                <w:rFonts w:eastAsia="Times New Roman" w:cstheme="majorBidi"/>
                <w:i/>
                <w:iCs/>
                <w:color w:val="000000"/>
                <w:sz w:val="20"/>
                <w:szCs w:val="20"/>
              </w:rPr>
            </w:pPr>
            <w:r w:rsidRPr="005B24A3">
              <w:rPr>
                <w:rFonts w:eastAsia="Times New Roman" w:cstheme="majorBidi"/>
                <w:i/>
                <w:iCs/>
                <w:color w:val="000000"/>
                <w:sz w:val="20"/>
                <w:szCs w:val="20"/>
              </w:rPr>
              <w:t>C</w:t>
            </w:r>
            <w:r w:rsidRPr="005B24A3">
              <w:rPr>
                <w:rFonts w:eastAsia="Times New Roman" w:cstheme="majorBidi"/>
                <w:i/>
                <w:iCs/>
                <w:color w:val="000000"/>
                <w:sz w:val="20"/>
                <w:szCs w:val="20"/>
                <w:vertAlign w:val="subscript"/>
              </w:rPr>
              <w:t>1</w:t>
            </w:r>
            <w:r w:rsidRPr="00FB5E20">
              <w:rPr>
                <w:rFonts w:eastAsia="Times New Roman" w:cstheme="majorBidi"/>
                <w:i/>
                <w:iCs/>
                <w:color w:val="000000"/>
                <w:sz w:val="20"/>
                <w:szCs w:val="20"/>
                <w:vertAlign w:val="subscript"/>
              </w:rPr>
              <w:t>5</w:t>
            </w:r>
          </w:p>
        </w:tc>
        <w:tc>
          <w:tcPr>
            <w:tcW w:w="1176" w:type="dxa"/>
            <w:shd w:val="clear" w:color="auto" w:fill="auto"/>
            <w:noWrap/>
            <w:vAlign w:val="center"/>
            <w:hideMark/>
          </w:tcPr>
          <w:p w14:paraId="20D41E2D"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0.986</w:t>
            </w:r>
          </w:p>
        </w:tc>
        <w:tc>
          <w:tcPr>
            <w:tcW w:w="1089" w:type="dxa"/>
            <w:shd w:val="clear" w:color="auto" w:fill="auto"/>
            <w:noWrap/>
            <w:vAlign w:val="center"/>
            <w:hideMark/>
          </w:tcPr>
          <w:p w14:paraId="0496775F"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0.986</w:t>
            </w:r>
          </w:p>
        </w:tc>
        <w:tc>
          <w:tcPr>
            <w:tcW w:w="1176" w:type="dxa"/>
            <w:shd w:val="clear" w:color="auto" w:fill="auto"/>
            <w:noWrap/>
            <w:vAlign w:val="center"/>
            <w:hideMark/>
          </w:tcPr>
          <w:p w14:paraId="1B6E34E1"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0.945</w:t>
            </w:r>
          </w:p>
        </w:tc>
        <w:tc>
          <w:tcPr>
            <w:tcW w:w="1089" w:type="dxa"/>
            <w:shd w:val="clear" w:color="auto" w:fill="auto"/>
            <w:noWrap/>
            <w:vAlign w:val="center"/>
            <w:hideMark/>
          </w:tcPr>
          <w:p w14:paraId="6DEF6C82"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0.945</w:t>
            </w:r>
          </w:p>
        </w:tc>
      </w:tr>
      <w:tr w:rsidR="005B24A3" w:rsidRPr="005B24A3" w14:paraId="0FDB05C3" w14:textId="77777777" w:rsidTr="005B24A3">
        <w:trPr>
          <w:trHeight w:val="237"/>
          <w:jc w:val="center"/>
        </w:trPr>
        <w:tc>
          <w:tcPr>
            <w:tcW w:w="1124" w:type="dxa"/>
            <w:shd w:val="clear" w:color="auto" w:fill="auto"/>
            <w:noWrap/>
            <w:vAlign w:val="center"/>
            <w:hideMark/>
          </w:tcPr>
          <w:p w14:paraId="6ECA1561" w14:textId="4E3BA0E7" w:rsidR="005B24A3" w:rsidRPr="005B24A3" w:rsidRDefault="005B24A3" w:rsidP="005B24A3">
            <w:pPr>
              <w:spacing w:after="0" w:line="240" w:lineRule="auto"/>
              <w:jc w:val="center"/>
              <w:rPr>
                <w:rFonts w:eastAsia="Times New Roman" w:cstheme="majorBidi"/>
                <w:i/>
                <w:iCs/>
                <w:color w:val="000000"/>
                <w:sz w:val="20"/>
                <w:szCs w:val="20"/>
              </w:rPr>
            </w:pPr>
            <w:r w:rsidRPr="005B24A3">
              <w:rPr>
                <w:rFonts w:eastAsia="Times New Roman" w:cstheme="majorBidi"/>
                <w:i/>
                <w:iCs/>
                <w:color w:val="000000"/>
                <w:sz w:val="20"/>
                <w:szCs w:val="20"/>
              </w:rPr>
              <w:t>C</w:t>
            </w:r>
            <w:r w:rsidRPr="005B24A3">
              <w:rPr>
                <w:rFonts w:eastAsia="Times New Roman" w:cstheme="majorBidi"/>
                <w:i/>
                <w:iCs/>
                <w:color w:val="000000"/>
                <w:sz w:val="20"/>
                <w:szCs w:val="20"/>
                <w:vertAlign w:val="subscript"/>
              </w:rPr>
              <w:t>1</w:t>
            </w:r>
            <w:r w:rsidRPr="00FB5E20">
              <w:rPr>
                <w:rFonts w:eastAsia="Times New Roman" w:cstheme="majorBidi"/>
                <w:i/>
                <w:iCs/>
                <w:color w:val="000000"/>
                <w:sz w:val="20"/>
                <w:szCs w:val="20"/>
                <w:vertAlign w:val="subscript"/>
              </w:rPr>
              <w:t>6</w:t>
            </w:r>
          </w:p>
        </w:tc>
        <w:tc>
          <w:tcPr>
            <w:tcW w:w="1176" w:type="dxa"/>
            <w:shd w:val="clear" w:color="auto" w:fill="auto"/>
            <w:noWrap/>
            <w:vAlign w:val="center"/>
            <w:hideMark/>
          </w:tcPr>
          <w:p w14:paraId="59A31ED3"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0.983</w:t>
            </w:r>
          </w:p>
        </w:tc>
        <w:tc>
          <w:tcPr>
            <w:tcW w:w="1089" w:type="dxa"/>
            <w:shd w:val="clear" w:color="auto" w:fill="auto"/>
            <w:noWrap/>
            <w:vAlign w:val="center"/>
            <w:hideMark/>
          </w:tcPr>
          <w:p w14:paraId="61E276C4"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0.983</w:t>
            </w:r>
          </w:p>
        </w:tc>
        <w:tc>
          <w:tcPr>
            <w:tcW w:w="1176" w:type="dxa"/>
            <w:shd w:val="clear" w:color="auto" w:fill="auto"/>
            <w:noWrap/>
            <w:vAlign w:val="center"/>
            <w:hideMark/>
          </w:tcPr>
          <w:p w14:paraId="47F32F8B"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0.92</w:t>
            </w:r>
          </w:p>
        </w:tc>
        <w:tc>
          <w:tcPr>
            <w:tcW w:w="1089" w:type="dxa"/>
            <w:shd w:val="clear" w:color="auto" w:fill="auto"/>
            <w:noWrap/>
            <w:vAlign w:val="center"/>
            <w:hideMark/>
          </w:tcPr>
          <w:p w14:paraId="5773C861"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0.92</w:t>
            </w:r>
          </w:p>
        </w:tc>
      </w:tr>
      <w:tr w:rsidR="005B24A3" w:rsidRPr="005B24A3" w14:paraId="3FDA123C" w14:textId="77777777" w:rsidTr="005B24A3">
        <w:trPr>
          <w:trHeight w:val="237"/>
          <w:jc w:val="center"/>
        </w:trPr>
        <w:tc>
          <w:tcPr>
            <w:tcW w:w="1124" w:type="dxa"/>
            <w:shd w:val="clear" w:color="auto" w:fill="auto"/>
            <w:noWrap/>
            <w:vAlign w:val="center"/>
            <w:hideMark/>
          </w:tcPr>
          <w:p w14:paraId="6078B91E" w14:textId="7640627A" w:rsidR="005B24A3" w:rsidRPr="005B24A3" w:rsidRDefault="005B24A3" w:rsidP="005B24A3">
            <w:pPr>
              <w:spacing w:after="0" w:line="240" w:lineRule="auto"/>
              <w:jc w:val="center"/>
              <w:rPr>
                <w:rFonts w:eastAsia="Times New Roman" w:cstheme="majorBidi"/>
                <w:i/>
                <w:iCs/>
                <w:color w:val="000000"/>
                <w:sz w:val="20"/>
                <w:szCs w:val="20"/>
              </w:rPr>
            </w:pPr>
            <w:r w:rsidRPr="005B24A3">
              <w:rPr>
                <w:rFonts w:eastAsia="Times New Roman" w:cstheme="majorBidi"/>
                <w:i/>
                <w:iCs/>
                <w:color w:val="000000"/>
                <w:sz w:val="20"/>
                <w:szCs w:val="20"/>
              </w:rPr>
              <w:t>C</w:t>
            </w:r>
            <w:r w:rsidRPr="00FB5E20">
              <w:rPr>
                <w:rFonts w:eastAsia="Times New Roman" w:cstheme="majorBidi"/>
                <w:i/>
                <w:iCs/>
                <w:color w:val="000000"/>
                <w:sz w:val="20"/>
                <w:szCs w:val="20"/>
                <w:vertAlign w:val="subscript"/>
              </w:rPr>
              <w:t>22</w:t>
            </w:r>
          </w:p>
        </w:tc>
        <w:tc>
          <w:tcPr>
            <w:tcW w:w="1176" w:type="dxa"/>
            <w:shd w:val="clear" w:color="auto" w:fill="auto"/>
            <w:noWrap/>
            <w:vAlign w:val="center"/>
            <w:hideMark/>
          </w:tcPr>
          <w:p w14:paraId="1262A558"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0.997</w:t>
            </w:r>
          </w:p>
        </w:tc>
        <w:tc>
          <w:tcPr>
            <w:tcW w:w="1089" w:type="dxa"/>
            <w:shd w:val="clear" w:color="auto" w:fill="auto"/>
            <w:noWrap/>
            <w:vAlign w:val="center"/>
            <w:hideMark/>
          </w:tcPr>
          <w:p w14:paraId="6D6DD498"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0.997</w:t>
            </w:r>
          </w:p>
        </w:tc>
        <w:tc>
          <w:tcPr>
            <w:tcW w:w="1176" w:type="dxa"/>
            <w:shd w:val="clear" w:color="auto" w:fill="auto"/>
            <w:noWrap/>
            <w:vAlign w:val="center"/>
            <w:hideMark/>
          </w:tcPr>
          <w:p w14:paraId="2981AAD4"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0.994</w:t>
            </w:r>
          </w:p>
        </w:tc>
        <w:tc>
          <w:tcPr>
            <w:tcW w:w="1089" w:type="dxa"/>
            <w:shd w:val="clear" w:color="auto" w:fill="auto"/>
            <w:noWrap/>
            <w:vAlign w:val="center"/>
            <w:hideMark/>
          </w:tcPr>
          <w:p w14:paraId="6E835829"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0.994</w:t>
            </w:r>
          </w:p>
        </w:tc>
      </w:tr>
      <w:tr w:rsidR="005B24A3" w:rsidRPr="005B24A3" w14:paraId="03CCDF1C" w14:textId="77777777" w:rsidTr="005B24A3">
        <w:trPr>
          <w:trHeight w:val="237"/>
          <w:jc w:val="center"/>
        </w:trPr>
        <w:tc>
          <w:tcPr>
            <w:tcW w:w="1124" w:type="dxa"/>
            <w:shd w:val="clear" w:color="auto" w:fill="auto"/>
            <w:noWrap/>
            <w:vAlign w:val="center"/>
            <w:hideMark/>
          </w:tcPr>
          <w:p w14:paraId="2BFA4CA8" w14:textId="56E4BF4C" w:rsidR="005B24A3" w:rsidRPr="005B24A3" w:rsidRDefault="005B24A3" w:rsidP="005B24A3">
            <w:pPr>
              <w:spacing w:after="0" w:line="240" w:lineRule="auto"/>
              <w:jc w:val="center"/>
              <w:rPr>
                <w:rFonts w:eastAsia="Times New Roman" w:cstheme="majorBidi"/>
                <w:i/>
                <w:iCs/>
                <w:color w:val="000000"/>
                <w:sz w:val="20"/>
                <w:szCs w:val="20"/>
              </w:rPr>
            </w:pPr>
            <w:r w:rsidRPr="005B24A3">
              <w:rPr>
                <w:rFonts w:eastAsia="Times New Roman" w:cstheme="majorBidi"/>
                <w:i/>
                <w:iCs/>
                <w:color w:val="000000"/>
                <w:sz w:val="20"/>
                <w:szCs w:val="20"/>
              </w:rPr>
              <w:t>C</w:t>
            </w:r>
            <w:r w:rsidRPr="00FB5E20">
              <w:rPr>
                <w:rFonts w:eastAsia="Times New Roman" w:cstheme="majorBidi"/>
                <w:i/>
                <w:iCs/>
                <w:color w:val="000000"/>
                <w:sz w:val="20"/>
                <w:szCs w:val="20"/>
                <w:vertAlign w:val="subscript"/>
              </w:rPr>
              <w:t>23</w:t>
            </w:r>
          </w:p>
        </w:tc>
        <w:tc>
          <w:tcPr>
            <w:tcW w:w="1176" w:type="dxa"/>
            <w:shd w:val="clear" w:color="auto" w:fill="auto"/>
            <w:noWrap/>
            <w:vAlign w:val="center"/>
            <w:hideMark/>
          </w:tcPr>
          <w:p w14:paraId="3C5BA019"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0.996</w:t>
            </w:r>
          </w:p>
        </w:tc>
        <w:tc>
          <w:tcPr>
            <w:tcW w:w="1089" w:type="dxa"/>
            <w:shd w:val="clear" w:color="auto" w:fill="auto"/>
            <w:noWrap/>
            <w:vAlign w:val="center"/>
            <w:hideMark/>
          </w:tcPr>
          <w:p w14:paraId="2219BB79"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0.996</w:t>
            </w:r>
          </w:p>
        </w:tc>
        <w:tc>
          <w:tcPr>
            <w:tcW w:w="1176" w:type="dxa"/>
            <w:shd w:val="clear" w:color="auto" w:fill="auto"/>
            <w:noWrap/>
            <w:vAlign w:val="center"/>
            <w:hideMark/>
          </w:tcPr>
          <w:p w14:paraId="5039C302"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0.988</w:t>
            </w:r>
          </w:p>
        </w:tc>
        <w:tc>
          <w:tcPr>
            <w:tcW w:w="1089" w:type="dxa"/>
            <w:shd w:val="clear" w:color="auto" w:fill="auto"/>
            <w:noWrap/>
            <w:vAlign w:val="center"/>
            <w:hideMark/>
          </w:tcPr>
          <w:p w14:paraId="52FB0A74"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0.988</w:t>
            </w:r>
          </w:p>
        </w:tc>
      </w:tr>
      <w:tr w:rsidR="005B24A3" w:rsidRPr="005B24A3" w14:paraId="0CCEE814" w14:textId="77777777" w:rsidTr="005B24A3">
        <w:trPr>
          <w:trHeight w:val="237"/>
          <w:jc w:val="center"/>
        </w:trPr>
        <w:tc>
          <w:tcPr>
            <w:tcW w:w="1124" w:type="dxa"/>
            <w:shd w:val="clear" w:color="auto" w:fill="auto"/>
            <w:noWrap/>
            <w:vAlign w:val="center"/>
            <w:hideMark/>
          </w:tcPr>
          <w:p w14:paraId="6597D5EA" w14:textId="35FD47B3" w:rsidR="005B24A3" w:rsidRPr="005B24A3" w:rsidRDefault="005B24A3" w:rsidP="005B24A3">
            <w:pPr>
              <w:spacing w:after="0" w:line="240" w:lineRule="auto"/>
              <w:jc w:val="center"/>
              <w:rPr>
                <w:rFonts w:eastAsia="Times New Roman" w:cstheme="majorBidi"/>
                <w:i/>
                <w:iCs/>
                <w:color w:val="000000"/>
                <w:sz w:val="20"/>
                <w:szCs w:val="20"/>
              </w:rPr>
            </w:pPr>
            <w:r w:rsidRPr="005B24A3">
              <w:rPr>
                <w:rFonts w:eastAsia="Times New Roman" w:cstheme="majorBidi"/>
                <w:i/>
                <w:iCs/>
                <w:color w:val="000000"/>
                <w:sz w:val="20"/>
                <w:szCs w:val="20"/>
              </w:rPr>
              <w:t>C</w:t>
            </w:r>
            <w:r w:rsidRPr="00FB5E20">
              <w:rPr>
                <w:rFonts w:eastAsia="Times New Roman" w:cstheme="majorBidi"/>
                <w:i/>
                <w:iCs/>
                <w:color w:val="000000"/>
                <w:sz w:val="20"/>
                <w:szCs w:val="20"/>
                <w:vertAlign w:val="subscript"/>
              </w:rPr>
              <w:t>24</w:t>
            </w:r>
          </w:p>
        </w:tc>
        <w:tc>
          <w:tcPr>
            <w:tcW w:w="1176" w:type="dxa"/>
            <w:shd w:val="clear" w:color="auto" w:fill="auto"/>
            <w:noWrap/>
            <w:vAlign w:val="center"/>
            <w:hideMark/>
          </w:tcPr>
          <w:p w14:paraId="0CF65A50"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0.987</w:t>
            </w:r>
          </w:p>
        </w:tc>
        <w:tc>
          <w:tcPr>
            <w:tcW w:w="1089" w:type="dxa"/>
            <w:shd w:val="clear" w:color="auto" w:fill="auto"/>
            <w:noWrap/>
            <w:vAlign w:val="center"/>
            <w:hideMark/>
          </w:tcPr>
          <w:p w14:paraId="61F35C8B"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0.987</w:t>
            </w:r>
          </w:p>
        </w:tc>
        <w:tc>
          <w:tcPr>
            <w:tcW w:w="1176" w:type="dxa"/>
            <w:shd w:val="clear" w:color="auto" w:fill="auto"/>
            <w:noWrap/>
            <w:vAlign w:val="center"/>
            <w:hideMark/>
          </w:tcPr>
          <w:p w14:paraId="50322426"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0.956</w:t>
            </w:r>
          </w:p>
        </w:tc>
        <w:tc>
          <w:tcPr>
            <w:tcW w:w="1089" w:type="dxa"/>
            <w:shd w:val="clear" w:color="auto" w:fill="auto"/>
            <w:noWrap/>
            <w:vAlign w:val="center"/>
            <w:hideMark/>
          </w:tcPr>
          <w:p w14:paraId="2EA1B5F9"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0.956</w:t>
            </w:r>
          </w:p>
        </w:tc>
      </w:tr>
      <w:tr w:rsidR="005B24A3" w:rsidRPr="005B24A3" w14:paraId="33CE1C6F" w14:textId="77777777" w:rsidTr="005B24A3">
        <w:trPr>
          <w:trHeight w:val="237"/>
          <w:jc w:val="center"/>
        </w:trPr>
        <w:tc>
          <w:tcPr>
            <w:tcW w:w="1124" w:type="dxa"/>
            <w:shd w:val="clear" w:color="auto" w:fill="auto"/>
            <w:noWrap/>
            <w:vAlign w:val="center"/>
            <w:hideMark/>
          </w:tcPr>
          <w:p w14:paraId="78A9F9D7" w14:textId="2F81B676" w:rsidR="005B24A3" w:rsidRPr="005B24A3" w:rsidRDefault="005B24A3" w:rsidP="005B24A3">
            <w:pPr>
              <w:spacing w:after="0" w:line="240" w:lineRule="auto"/>
              <w:jc w:val="center"/>
              <w:rPr>
                <w:rFonts w:eastAsia="Times New Roman" w:cstheme="majorBidi"/>
                <w:i/>
                <w:iCs/>
                <w:color w:val="000000"/>
                <w:sz w:val="20"/>
                <w:szCs w:val="20"/>
              </w:rPr>
            </w:pPr>
            <w:r w:rsidRPr="005B24A3">
              <w:rPr>
                <w:rFonts w:eastAsia="Times New Roman" w:cstheme="majorBidi"/>
                <w:i/>
                <w:iCs/>
                <w:color w:val="000000"/>
                <w:sz w:val="20"/>
                <w:szCs w:val="20"/>
              </w:rPr>
              <w:t>C</w:t>
            </w:r>
            <w:r w:rsidRPr="00FB5E20">
              <w:rPr>
                <w:rFonts w:eastAsia="Times New Roman" w:cstheme="majorBidi"/>
                <w:i/>
                <w:iCs/>
                <w:color w:val="000000"/>
                <w:sz w:val="20"/>
                <w:szCs w:val="20"/>
                <w:vertAlign w:val="subscript"/>
              </w:rPr>
              <w:t>25</w:t>
            </w:r>
          </w:p>
        </w:tc>
        <w:tc>
          <w:tcPr>
            <w:tcW w:w="1176" w:type="dxa"/>
            <w:shd w:val="clear" w:color="auto" w:fill="auto"/>
            <w:noWrap/>
            <w:vAlign w:val="center"/>
            <w:hideMark/>
          </w:tcPr>
          <w:p w14:paraId="2BE29E40"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0.986</w:t>
            </w:r>
          </w:p>
        </w:tc>
        <w:tc>
          <w:tcPr>
            <w:tcW w:w="1089" w:type="dxa"/>
            <w:shd w:val="clear" w:color="auto" w:fill="auto"/>
            <w:noWrap/>
            <w:vAlign w:val="center"/>
            <w:hideMark/>
          </w:tcPr>
          <w:p w14:paraId="2FDDBB84"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0.986</w:t>
            </w:r>
          </w:p>
        </w:tc>
        <w:tc>
          <w:tcPr>
            <w:tcW w:w="1176" w:type="dxa"/>
            <w:shd w:val="clear" w:color="auto" w:fill="auto"/>
            <w:noWrap/>
            <w:vAlign w:val="center"/>
            <w:hideMark/>
          </w:tcPr>
          <w:p w14:paraId="686F8E9E"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0.949</w:t>
            </w:r>
          </w:p>
        </w:tc>
        <w:tc>
          <w:tcPr>
            <w:tcW w:w="1089" w:type="dxa"/>
            <w:shd w:val="clear" w:color="auto" w:fill="auto"/>
            <w:noWrap/>
            <w:vAlign w:val="center"/>
            <w:hideMark/>
          </w:tcPr>
          <w:p w14:paraId="1ABF312C"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0.948</w:t>
            </w:r>
          </w:p>
        </w:tc>
      </w:tr>
      <w:tr w:rsidR="005B24A3" w:rsidRPr="005B24A3" w14:paraId="676D13F4" w14:textId="77777777" w:rsidTr="005B24A3">
        <w:trPr>
          <w:trHeight w:val="237"/>
          <w:jc w:val="center"/>
        </w:trPr>
        <w:tc>
          <w:tcPr>
            <w:tcW w:w="1124" w:type="dxa"/>
            <w:shd w:val="clear" w:color="auto" w:fill="auto"/>
            <w:noWrap/>
            <w:vAlign w:val="center"/>
            <w:hideMark/>
          </w:tcPr>
          <w:p w14:paraId="052591B0" w14:textId="2328D76B" w:rsidR="005B24A3" w:rsidRPr="005B24A3" w:rsidRDefault="005B24A3" w:rsidP="005B24A3">
            <w:pPr>
              <w:spacing w:after="0" w:line="240" w:lineRule="auto"/>
              <w:jc w:val="center"/>
              <w:rPr>
                <w:rFonts w:eastAsia="Times New Roman" w:cstheme="majorBidi"/>
                <w:i/>
                <w:iCs/>
                <w:color w:val="000000"/>
                <w:sz w:val="20"/>
                <w:szCs w:val="20"/>
              </w:rPr>
            </w:pPr>
            <w:r w:rsidRPr="005B24A3">
              <w:rPr>
                <w:rFonts w:eastAsia="Times New Roman" w:cstheme="majorBidi"/>
                <w:i/>
                <w:iCs/>
                <w:color w:val="000000"/>
                <w:sz w:val="20"/>
                <w:szCs w:val="20"/>
              </w:rPr>
              <w:t>C</w:t>
            </w:r>
            <w:r w:rsidRPr="00FB5E20">
              <w:rPr>
                <w:rFonts w:eastAsia="Times New Roman" w:cstheme="majorBidi"/>
                <w:i/>
                <w:iCs/>
                <w:color w:val="000000"/>
                <w:sz w:val="20"/>
                <w:szCs w:val="20"/>
                <w:vertAlign w:val="subscript"/>
              </w:rPr>
              <w:t>26</w:t>
            </w:r>
          </w:p>
        </w:tc>
        <w:tc>
          <w:tcPr>
            <w:tcW w:w="1176" w:type="dxa"/>
            <w:shd w:val="clear" w:color="auto" w:fill="auto"/>
            <w:noWrap/>
            <w:vAlign w:val="center"/>
            <w:hideMark/>
          </w:tcPr>
          <w:p w14:paraId="0D52CBBB"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0.984</w:t>
            </w:r>
          </w:p>
        </w:tc>
        <w:tc>
          <w:tcPr>
            <w:tcW w:w="1089" w:type="dxa"/>
            <w:shd w:val="clear" w:color="auto" w:fill="auto"/>
            <w:noWrap/>
            <w:vAlign w:val="center"/>
            <w:hideMark/>
          </w:tcPr>
          <w:p w14:paraId="3C5E80A7"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0.984</w:t>
            </w:r>
          </w:p>
        </w:tc>
        <w:tc>
          <w:tcPr>
            <w:tcW w:w="1176" w:type="dxa"/>
            <w:shd w:val="clear" w:color="auto" w:fill="auto"/>
            <w:noWrap/>
            <w:vAlign w:val="center"/>
            <w:hideMark/>
          </w:tcPr>
          <w:p w14:paraId="107A5798"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0.921</w:t>
            </w:r>
          </w:p>
        </w:tc>
        <w:tc>
          <w:tcPr>
            <w:tcW w:w="1089" w:type="dxa"/>
            <w:shd w:val="clear" w:color="auto" w:fill="auto"/>
            <w:noWrap/>
            <w:vAlign w:val="center"/>
            <w:hideMark/>
          </w:tcPr>
          <w:p w14:paraId="407F1C4A"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0.921</w:t>
            </w:r>
          </w:p>
        </w:tc>
      </w:tr>
      <w:tr w:rsidR="005B24A3" w:rsidRPr="005B24A3" w14:paraId="047813FC" w14:textId="77777777" w:rsidTr="005B24A3">
        <w:trPr>
          <w:trHeight w:val="237"/>
          <w:jc w:val="center"/>
        </w:trPr>
        <w:tc>
          <w:tcPr>
            <w:tcW w:w="1124" w:type="dxa"/>
            <w:shd w:val="clear" w:color="auto" w:fill="auto"/>
            <w:noWrap/>
            <w:vAlign w:val="center"/>
            <w:hideMark/>
          </w:tcPr>
          <w:p w14:paraId="5EA36602" w14:textId="76FA4681" w:rsidR="005B24A3" w:rsidRPr="005B24A3" w:rsidRDefault="005B24A3" w:rsidP="005B24A3">
            <w:pPr>
              <w:spacing w:after="0" w:line="240" w:lineRule="auto"/>
              <w:jc w:val="center"/>
              <w:rPr>
                <w:rFonts w:eastAsia="Times New Roman" w:cstheme="majorBidi"/>
                <w:i/>
                <w:iCs/>
                <w:color w:val="000000"/>
                <w:sz w:val="20"/>
                <w:szCs w:val="20"/>
              </w:rPr>
            </w:pPr>
            <w:r w:rsidRPr="005B24A3">
              <w:rPr>
                <w:rFonts w:eastAsia="Times New Roman" w:cstheme="majorBidi"/>
                <w:i/>
                <w:iCs/>
                <w:color w:val="000000"/>
                <w:sz w:val="20"/>
                <w:szCs w:val="20"/>
              </w:rPr>
              <w:t>C</w:t>
            </w:r>
            <w:r w:rsidRPr="00FB5E20">
              <w:rPr>
                <w:rFonts w:eastAsia="Times New Roman" w:cstheme="majorBidi"/>
                <w:i/>
                <w:iCs/>
                <w:color w:val="000000"/>
                <w:sz w:val="20"/>
                <w:szCs w:val="20"/>
                <w:vertAlign w:val="subscript"/>
              </w:rPr>
              <w:t>33</w:t>
            </w:r>
          </w:p>
        </w:tc>
        <w:tc>
          <w:tcPr>
            <w:tcW w:w="1176" w:type="dxa"/>
            <w:shd w:val="clear" w:color="auto" w:fill="auto"/>
            <w:noWrap/>
            <w:vAlign w:val="center"/>
            <w:hideMark/>
          </w:tcPr>
          <w:p w14:paraId="3D8D49EC"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0.997</w:t>
            </w:r>
          </w:p>
        </w:tc>
        <w:tc>
          <w:tcPr>
            <w:tcW w:w="1089" w:type="dxa"/>
            <w:shd w:val="clear" w:color="auto" w:fill="auto"/>
            <w:noWrap/>
            <w:vAlign w:val="center"/>
            <w:hideMark/>
          </w:tcPr>
          <w:p w14:paraId="7059AB7D"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0.997</w:t>
            </w:r>
          </w:p>
        </w:tc>
        <w:tc>
          <w:tcPr>
            <w:tcW w:w="1176" w:type="dxa"/>
            <w:shd w:val="clear" w:color="auto" w:fill="auto"/>
            <w:noWrap/>
            <w:vAlign w:val="center"/>
            <w:hideMark/>
          </w:tcPr>
          <w:p w14:paraId="3B14C290"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0.994</w:t>
            </w:r>
          </w:p>
        </w:tc>
        <w:tc>
          <w:tcPr>
            <w:tcW w:w="1089" w:type="dxa"/>
            <w:shd w:val="clear" w:color="auto" w:fill="auto"/>
            <w:noWrap/>
            <w:vAlign w:val="center"/>
            <w:hideMark/>
          </w:tcPr>
          <w:p w14:paraId="2678D45F"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0.994</w:t>
            </w:r>
          </w:p>
        </w:tc>
      </w:tr>
      <w:tr w:rsidR="005B24A3" w:rsidRPr="005B24A3" w14:paraId="3BD4EDE8" w14:textId="77777777" w:rsidTr="005B24A3">
        <w:trPr>
          <w:trHeight w:val="237"/>
          <w:jc w:val="center"/>
        </w:trPr>
        <w:tc>
          <w:tcPr>
            <w:tcW w:w="1124" w:type="dxa"/>
            <w:shd w:val="clear" w:color="auto" w:fill="auto"/>
            <w:noWrap/>
            <w:vAlign w:val="center"/>
            <w:hideMark/>
          </w:tcPr>
          <w:p w14:paraId="0DA36B5D" w14:textId="16C27BEF" w:rsidR="005B24A3" w:rsidRPr="005B24A3" w:rsidRDefault="005B24A3" w:rsidP="005B24A3">
            <w:pPr>
              <w:spacing w:after="0" w:line="240" w:lineRule="auto"/>
              <w:jc w:val="center"/>
              <w:rPr>
                <w:rFonts w:eastAsia="Times New Roman" w:cstheme="majorBidi"/>
                <w:i/>
                <w:iCs/>
                <w:color w:val="000000"/>
                <w:sz w:val="20"/>
                <w:szCs w:val="20"/>
              </w:rPr>
            </w:pPr>
            <w:r w:rsidRPr="005B24A3">
              <w:rPr>
                <w:rFonts w:eastAsia="Times New Roman" w:cstheme="majorBidi"/>
                <w:i/>
                <w:iCs/>
                <w:color w:val="000000"/>
                <w:sz w:val="20"/>
                <w:szCs w:val="20"/>
              </w:rPr>
              <w:t>C</w:t>
            </w:r>
            <w:r w:rsidRPr="00FB5E20">
              <w:rPr>
                <w:rFonts w:eastAsia="Times New Roman" w:cstheme="majorBidi"/>
                <w:i/>
                <w:iCs/>
                <w:color w:val="000000"/>
                <w:sz w:val="20"/>
                <w:szCs w:val="20"/>
                <w:vertAlign w:val="subscript"/>
              </w:rPr>
              <w:t>34</w:t>
            </w:r>
          </w:p>
        </w:tc>
        <w:tc>
          <w:tcPr>
            <w:tcW w:w="1176" w:type="dxa"/>
            <w:shd w:val="clear" w:color="auto" w:fill="auto"/>
            <w:noWrap/>
            <w:vAlign w:val="center"/>
            <w:hideMark/>
          </w:tcPr>
          <w:p w14:paraId="515A86D5"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0.987</w:t>
            </w:r>
          </w:p>
        </w:tc>
        <w:tc>
          <w:tcPr>
            <w:tcW w:w="1089" w:type="dxa"/>
            <w:shd w:val="clear" w:color="auto" w:fill="auto"/>
            <w:noWrap/>
            <w:vAlign w:val="center"/>
            <w:hideMark/>
          </w:tcPr>
          <w:p w14:paraId="18F36E20"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0.987</w:t>
            </w:r>
          </w:p>
        </w:tc>
        <w:tc>
          <w:tcPr>
            <w:tcW w:w="1176" w:type="dxa"/>
            <w:shd w:val="clear" w:color="auto" w:fill="auto"/>
            <w:noWrap/>
            <w:vAlign w:val="center"/>
            <w:hideMark/>
          </w:tcPr>
          <w:p w14:paraId="4DD485CF"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0.96</w:t>
            </w:r>
          </w:p>
        </w:tc>
        <w:tc>
          <w:tcPr>
            <w:tcW w:w="1089" w:type="dxa"/>
            <w:shd w:val="clear" w:color="auto" w:fill="auto"/>
            <w:noWrap/>
            <w:vAlign w:val="center"/>
            <w:hideMark/>
          </w:tcPr>
          <w:p w14:paraId="6D1E3B46"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0.961</w:t>
            </w:r>
          </w:p>
        </w:tc>
      </w:tr>
      <w:tr w:rsidR="005B24A3" w:rsidRPr="005B24A3" w14:paraId="3F052719" w14:textId="77777777" w:rsidTr="005B24A3">
        <w:trPr>
          <w:trHeight w:val="237"/>
          <w:jc w:val="center"/>
        </w:trPr>
        <w:tc>
          <w:tcPr>
            <w:tcW w:w="1124" w:type="dxa"/>
            <w:shd w:val="clear" w:color="auto" w:fill="auto"/>
            <w:noWrap/>
            <w:vAlign w:val="center"/>
            <w:hideMark/>
          </w:tcPr>
          <w:p w14:paraId="72B7B252" w14:textId="0C5CDBB7" w:rsidR="005B24A3" w:rsidRPr="005B24A3" w:rsidRDefault="005B24A3" w:rsidP="005B24A3">
            <w:pPr>
              <w:spacing w:after="0" w:line="240" w:lineRule="auto"/>
              <w:jc w:val="center"/>
              <w:rPr>
                <w:rFonts w:eastAsia="Times New Roman" w:cstheme="majorBidi"/>
                <w:i/>
                <w:iCs/>
                <w:color w:val="000000"/>
                <w:sz w:val="20"/>
                <w:szCs w:val="20"/>
              </w:rPr>
            </w:pPr>
            <w:r w:rsidRPr="005B24A3">
              <w:rPr>
                <w:rFonts w:eastAsia="Times New Roman" w:cstheme="majorBidi"/>
                <w:i/>
                <w:iCs/>
                <w:color w:val="000000"/>
                <w:sz w:val="20"/>
                <w:szCs w:val="20"/>
              </w:rPr>
              <w:t>C</w:t>
            </w:r>
            <w:r w:rsidRPr="00FB5E20">
              <w:rPr>
                <w:rFonts w:eastAsia="Times New Roman" w:cstheme="majorBidi"/>
                <w:i/>
                <w:iCs/>
                <w:color w:val="000000"/>
                <w:sz w:val="20"/>
                <w:szCs w:val="20"/>
                <w:vertAlign w:val="subscript"/>
              </w:rPr>
              <w:t>35</w:t>
            </w:r>
          </w:p>
        </w:tc>
        <w:tc>
          <w:tcPr>
            <w:tcW w:w="1176" w:type="dxa"/>
            <w:shd w:val="clear" w:color="auto" w:fill="auto"/>
            <w:noWrap/>
            <w:vAlign w:val="center"/>
            <w:hideMark/>
          </w:tcPr>
          <w:p w14:paraId="0C40FA37"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0.987</w:t>
            </w:r>
          </w:p>
        </w:tc>
        <w:tc>
          <w:tcPr>
            <w:tcW w:w="1089" w:type="dxa"/>
            <w:shd w:val="clear" w:color="auto" w:fill="auto"/>
            <w:noWrap/>
            <w:vAlign w:val="center"/>
            <w:hideMark/>
          </w:tcPr>
          <w:p w14:paraId="33CBBE5D"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0.988</w:t>
            </w:r>
          </w:p>
        </w:tc>
        <w:tc>
          <w:tcPr>
            <w:tcW w:w="1176" w:type="dxa"/>
            <w:shd w:val="clear" w:color="auto" w:fill="auto"/>
            <w:noWrap/>
            <w:vAlign w:val="center"/>
            <w:hideMark/>
          </w:tcPr>
          <w:p w14:paraId="2A52B9F9"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0.959</w:t>
            </w:r>
          </w:p>
        </w:tc>
        <w:tc>
          <w:tcPr>
            <w:tcW w:w="1089" w:type="dxa"/>
            <w:shd w:val="clear" w:color="auto" w:fill="auto"/>
            <w:noWrap/>
            <w:vAlign w:val="center"/>
            <w:hideMark/>
          </w:tcPr>
          <w:p w14:paraId="42B5442C"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0.959</w:t>
            </w:r>
          </w:p>
        </w:tc>
      </w:tr>
      <w:tr w:rsidR="005B24A3" w:rsidRPr="005B24A3" w14:paraId="790EEC7A" w14:textId="77777777" w:rsidTr="005B24A3">
        <w:trPr>
          <w:trHeight w:val="237"/>
          <w:jc w:val="center"/>
        </w:trPr>
        <w:tc>
          <w:tcPr>
            <w:tcW w:w="1124" w:type="dxa"/>
            <w:shd w:val="clear" w:color="auto" w:fill="auto"/>
            <w:noWrap/>
            <w:vAlign w:val="center"/>
            <w:hideMark/>
          </w:tcPr>
          <w:p w14:paraId="43B9BF20" w14:textId="085E306F" w:rsidR="005B24A3" w:rsidRPr="005B24A3" w:rsidRDefault="005B24A3" w:rsidP="005B24A3">
            <w:pPr>
              <w:spacing w:after="0" w:line="240" w:lineRule="auto"/>
              <w:jc w:val="center"/>
              <w:rPr>
                <w:rFonts w:eastAsia="Times New Roman" w:cstheme="majorBidi"/>
                <w:i/>
                <w:iCs/>
                <w:color w:val="000000"/>
                <w:sz w:val="20"/>
                <w:szCs w:val="20"/>
              </w:rPr>
            </w:pPr>
            <w:r w:rsidRPr="005B24A3">
              <w:rPr>
                <w:rFonts w:eastAsia="Times New Roman" w:cstheme="majorBidi"/>
                <w:i/>
                <w:iCs/>
                <w:color w:val="000000"/>
                <w:sz w:val="20"/>
                <w:szCs w:val="20"/>
              </w:rPr>
              <w:t>C</w:t>
            </w:r>
            <w:r w:rsidRPr="00FB5E20">
              <w:rPr>
                <w:rFonts w:eastAsia="Times New Roman" w:cstheme="majorBidi"/>
                <w:i/>
                <w:iCs/>
                <w:color w:val="000000"/>
                <w:sz w:val="20"/>
                <w:szCs w:val="20"/>
                <w:vertAlign w:val="subscript"/>
              </w:rPr>
              <w:t>36</w:t>
            </w:r>
          </w:p>
        </w:tc>
        <w:tc>
          <w:tcPr>
            <w:tcW w:w="1176" w:type="dxa"/>
            <w:shd w:val="clear" w:color="auto" w:fill="auto"/>
            <w:noWrap/>
            <w:vAlign w:val="center"/>
            <w:hideMark/>
          </w:tcPr>
          <w:p w14:paraId="47E60EAF"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0.985</w:t>
            </w:r>
          </w:p>
        </w:tc>
        <w:tc>
          <w:tcPr>
            <w:tcW w:w="1089" w:type="dxa"/>
            <w:shd w:val="clear" w:color="auto" w:fill="auto"/>
            <w:noWrap/>
            <w:vAlign w:val="center"/>
            <w:hideMark/>
          </w:tcPr>
          <w:p w14:paraId="5FCE242B"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0.985</w:t>
            </w:r>
          </w:p>
        </w:tc>
        <w:tc>
          <w:tcPr>
            <w:tcW w:w="1176" w:type="dxa"/>
            <w:shd w:val="clear" w:color="auto" w:fill="auto"/>
            <w:noWrap/>
            <w:vAlign w:val="center"/>
            <w:hideMark/>
          </w:tcPr>
          <w:p w14:paraId="024E623D"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0.95</w:t>
            </w:r>
          </w:p>
        </w:tc>
        <w:tc>
          <w:tcPr>
            <w:tcW w:w="1089" w:type="dxa"/>
            <w:shd w:val="clear" w:color="auto" w:fill="auto"/>
            <w:noWrap/>
            <w:vAlign w:val="center"/>
            <w:hideMark/>
          </w:tcPr>
          <w:p w14:paraId="141B5EC2"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0.951</w:t>
            </w:r>
          </w:p>
        </w:tc>
      </w:tr>
      <w:tr w:rsidR="005B24A3" w:rsidRPr="005B24A3" w14:paraId="53F5D06E" w14:textId="77777777" w:rsidTr="005B24A3">
        <w:trPr>
          <w:trHeight w:val="237"/>
          <w:jc w:val="center"/>
        </w:trPr>
        <w:tc>
          <w:tcPr>
            <w:tcW w:w="1124" w:type="dxa"/>
            <w:shd w:val="clear" w:color="auto" w:fill="auto"/>
            <w:noWrap/>
            <w:vAlign w:val="center"/>
            <w:hideMark/>
          </w:tcPr>
          <w:p w14:paraId="4C92F769" w14:textId="38F3E514" w:rsidR="005B24A3" w:rsidRPr="005B24A3" w:rsidRDefault="005B24A3" w:rsidP="005B24A3">
            <w:pPr>
              <w:spacing w:after="0" w:line="240" w:lineRule="auto"/>
              <w:jc w:val="center"/>
              <w:rPr>
                <w:rFonts w:eastAsia="Times New Roman" w:cstheme="majorBidi"/>
                <w:i/>
                <w:iCs/>
                <w:color w:val="000000"/>
                <w:sz w:val="20"/>
                <w:szCs w:val="20"/>
              </w:rPr>
            </w:pPr>
            <w:r w:rsidRPr="005B24A3">
              <w:rPr>
                <w:rFonts w:eastAsia="Times New Roman" w:cstheme="majorBidi"/>
                <w:i/>
                <w:iCs/>
                <w:color w:val="000000"/>
                <w:sz w:val="20"/>
                <w:szCs w:val="20"/>
              </w:rPr>
              <w:t>C</w:t>
            </w:r>
            <w:r w:rsidRPr="00FB5E20">
              <w:rPr>
                <w:rFonts w:eastAsia="Times New Roman" w:cstheme="majorBidi"/>
                <w:i/>
                <w:iCs/>
                <w:color w:val="000000"/>
                <w:sz w:val="20"/>
                <w:szCs w:val="20"/>
                <w:vertAlign w:val="subscript"/>
              </w:rPr>
              <w:t>44</w:t>
            </w:r>
          </w:p>
        </w:tc>
        <w:tc>
          <w:tcPr>
            <w:tcW w:w="1176" w:type="dxa"/>
            <w:shd w:val="clear" w:color="auto" w:fill="auto"/>
            <w:noWrap/>
            <w:vAlign w:val="center"/>
            <w:hideMark/>
          </w:tcPr>
          <w:p w14:paraId="3D2A50FC"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0.996</w:t>
            </w:r>
          </w:p>
        </w:tc>
        <w:tc>
          <w:tcPr>
            <w:tcW w:w="1089" w:type="dxa"/>
            <w:shd w:val="clear" w:color="auto" w:fill="auto"/>
            <w:noWrap/>
            <w:vAlign w:val="center"/>
            <w:hideMark/>
          </w:tcPr>
          <w:p w14:paraId="1B71A539"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0.996</w:t>
            </w:r>
          </w:p>
        </w:tc>
        <w:tc>
          <w:tcPr>
            <w:tcW w:w="1176" w:type="dxa"/>
            <w:shd w:val="clear" w:color="auto" w:fill="auto"/>
            <w:noWrap/>
            <w:vAlign w:val="center"/>
            <w:hideMark/>
          </w:tcPr>
          <w:p w14:paraId="71DC2EBB"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0.986</w:t>
            </w:r>
          </w:p>
        </w:tc>
        <w:tc>
          <w:tcPr>
            <w:tcW w:w="1089" w:type="dxa"/>
            <w:shd w:val="clear" w:color="auto" w:fill="auto"/>
            <w:noWrap/>
            <w:vAlign w:val="center"/>
            <w:hideMark/>
          </w:tcPr>
          <w:p w14:paraId="26F9B086"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0.986</w:t>
            </w:r>
          </w:p>
        </w:tc>
      </w:tr>
      <w:tr w:rsidR="005B24A3" w:rsidRPr="005B24A3" w14:paraId="577DB632" w14:textId="77777777" w:rsidTr="005B24A3">
        <w:trPr>
          <w:trHeight w:val="237"/>
          <w:jc w:val="center"/>
        </w:trPr>
        <w:tc>
          <w:tcPr>
            <w:tcW w:w="1124" w:type="dxa"/>
            <w:shd w:val="clear" w:color="auto" w:fill="auto"/>
            <w:noWrap/>
            <w:vAlign w:val="center"/>
            <w:hideMark/>
          </w:tcPr>
          <w:p w14:paraId="1849FE4E" w14:textId="4099A232" w:rsidR="005B24A3" w:rsidRPr="005B24A3" w:rsidRDefault="005B24A3" w:rsidP="005B24A3">
            <w:pPr>
              <w:spacing w:after="0" w:line="240" w:lineRule="auto"/>
              <w:jc w:val="center"/>
              <w:rPr>
                <w:rFonts w:eastAsia="Times New Roman" w:cstheme="majorBidi"/>
                <w:i/>
                <w:iCs/>
                <w:color w:val="000000"/>
                <w:sz w:val="20"/>
                <w:szCs w:val="20"/>
              </w:rPr>
            </w:pPr>
            <w:r w:rsidRPr="005B24A3">
              <w:rPr>
                <w:rFonts w:eastAsia="Times New Roman" w:cstheme="majorBidi"/>
                <w:i/>
                <w:iCs/>
                <w:color w:val="000000"/>
                <w:sz w:val="20"/>
                <w:szCs w:val="20"/>
              </w:rPr>
              <w:t>C</w:t>
            </w:r>
            <w:r w:rsidRPr="00FB5E20">
              <w:rPr>
                <w:rFonts w:eastAsia="Times New Roman" w:cstheme="majorBidi"/>
                <w:i/>
                <w:iCs/>
                <w:color w:val="000000"/>
                <w:sz w:val="20"/>
                <w:szCs w:val="20"/>
                <w:vertAlign w:val="subscript"/>
              </w:rPr>
              <w:t>45</w:t>
            </w:r>
          </w:p>
        </w:tc>
        <w:tc>
          <w:tcPr>
            <w:tcW w:w="1176" w:type="dxa"/>
            <w:shd w:val="clear" w:color="auto" w:fill="auto"/>
            <w:noWrap/>
            <w:vAlign w:val="center"/>
            <w:hideMark/>
          </w:tcPr>
          <w:p w14:paraId="69ADB0DA"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0.985</w:t>
            </w:r>
          </w:p>
        </w:tc>
        <w:tc>
          <w:tcPr>
            <w:tcW w:w="1089" w:type="dxa"/>
            <w:shd w:val="clear" w:color="auto" w:fill="auto"/>
            <w:noWrap/>
            <w:vAlign w:val="center"/>
            <w:hideMark/>
          </w:tcPr>
          <w:p w14:paraId="47669614"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0.985</w:t>
            </w:r>
          </w:p>
        </w:tc>
        <w:tc>
          <w:tcPr>
            <w:tcW w:w="1176" w:type="dxa"/>
            <w:shd w:val="clear" w:color="auto" w:fill="auto"/>
            <w:noWrap/>
            <w:vAlign w:val="center"/>
            <w:hideMark/>
          </w:tcPr>
          <w:p w14:paraId="459852E9"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0.95</w:t>
            </w:r>
          </w:p>
        </w:tc>
        <w:tc>
          <w:tcPr>
            <w:tcW w:w="1089" w:type="dxa"/>
            <w:shd w:val="clear" w:color="auto" w:fill="auto"/>
            <w:noWrap/>
            <w:vAlign w:val="center"/>
            <w:hideMark/>
          </w:tcPr>
          <w:p w14:paraId="7FB17FB8"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0.951</w:t>
            </w:r>
          </w:p>
        </w:tc>
      </w:tr>
      <w:tr w:rsidR="005B24A3" w:rsidRPr="005B24A3" w14:paraId="3DCF52A2" w14:textId="77777777" w:rsidTr="005B24A3">
        <w:trPr>
          <w:trHeight w:val="237"/>
          <w:jc w:val="center"/>
        </w:trPr>
        <w:tc>
          <w:tcPr>
            <w:tcW w:w="1124" w:type="dxa"/>
            <w:shd w:val="clear" w:color="auto" w:fill="auto"/>
            <w:noWrap/>
            <w:vAlign w:val="center"/>
            <w:hideMark/>
          </w:tcPr>
          <w:p w14:paraId="0CC37BDA" w14:textId="16DAD4C5" w:rsidR="005B24A3" w:rsidRPr="005B24A3" w:rsidRDefault="005B24A3" w:rsidP="005B24A3">
            <w:pPr>
              <w:spacing w:after="0" w:line="240" w:lineRule="auto"/>
              <w:jc w:val="center"/>
              <w:rPr>
                <w:rFonts w:eastAsia="Times New Roman" w:cstheme="majorBidi"/>
                <w:i/>
                <w:iCs/>
                <w:color w:val="000000"/>
                <w:sz w:val="20"/>
                <w:szCs w:val="20"/>
              </w:rPr>
            </w:pPr>
            <w:r w:rsidRPr="005B24A3">
              <w:rPr>
                <w:rFonts w:eastAsia="Times New Roman" w:cstheme="majorBidi"/>
                <w:i/>
                <w:iCs/>
                <w:color w:val="000000"/>
                <w:sz w:val="20"/>
                <w:szCs w:val="20"/>
              </w:rPr>
              <w:t>C</w:t>
            </w:r>
            <w:r w:rsidRPr="00FB5E20">
              <w:rPr>
                <w:rFonts w:eastAsia="Times New Roman" w:cstheme="majorBidi"/>
                <w:i/>
                <w:iCs/>
                <w:color w:val="000000"/>
                <w:sz w:val="20"/>
                <w:szCs w:val="20"/>
                <w:vertAlign w:val="subscript"/>
              </w:rPr>
              <w:t>46</w:t>
            </w:r>
          </w:p>
        </w:tc>
        <w:tc>
          <w:tcPr>
            <w:tcW w:w="1176" w:type="dxa"/>
            <w:shd w:val="clear" w:color="auto" w:fill="auto"/>
            <w:noWrap/>
            <w:vAlign w:val="center"/>
            <w:hideMark/>
          </w:tcPr>
          <w:p w14:paraId="42730BF3"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0.986</w:t>
            </w:r>
          </w:p>
        </w:tc>
        <w:tc>
          <w:tcPr>
            <w:tcW w:w="1089" w:type="dxa"/>
            <w:shd w:val="clear" w:color="auto" w:fill="auto"/>
            <w:noWrap/>
            <w:vAlign w:val="center"/>
            <w:hideMark/>
          </w:tcPr>
          <w:p w14:paraId="529E3421"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0.986</w:t>
            </w:r>
          </w:p>
        </w:tc>
        <w:tc>
          <w:tcPr>
            <w:tcW w:w="1176" w:type="dxa"/>
            <w:shd w:val="clear" w:color="auto" w:fill="auto"/>
            <w:noWrap/>
            <w:vAlign w:val="center"/>
            <w:hideMark/>
          </w:tcPr>
          <w:p w14:paraId="1A42C170"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0.949</w:t>
            </w:r>
          </w:p>
        </w:tc>
        <w:tc>
          <w:tcPr>
            <w:tcW w:w="1089" w:type="dxa"/>
            <w:shd w:val="clear" w:color="auto" w:fill="auto"/>
            <w:noWrap/>
            <w:vAlign w:val="center"/>
            <w:hideMark/>
          </w:tcPr>
          <w:p w14:paraId="0E03AB4D"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0.948</w:t>
            </w:r>
          </w:p>
        </w:tc>
      </w:tr>
      <w:tr w:rsidR="005B24A3" w:rsidRPr="005B24A3" w14:paraId="60512B3E" w14:textId="77777777" w:rsidTr="005B24A3">
        <w:trPr>
          <w:trHeight w:val="237"/>
          <w:jc w:val="center"/>
        </w:trPr>
        <w:tc>
          <w:tcPr>
            <w:tcW w:w="1124" w:type="dxa"/>
            <w:shd w:val="clear" w:color="auto" w:fill="auto"/>
            <w:noWrap/>
            <w:vAlign w:val="center"/>
            <w:hideMark/>
          </w:tcPr>
          <w:p w14:paraId="55A1EA64" w14:textId="7D38447A" w:rsidR="005B24A3" w:rsidRPr="005B24A3" w:rsidRDefault="005B24A3" w:rsidP="005B24A3">
            <w:pPr>
              <w:spacing w:after="0" w:line="240" w:lineRule="auto"/>
              <w:jc w:val="center"/>
              <w:rPr>
                <w:rFonts w:eastAsia="Times New Roman" w:cstheme="majorBidi"/>
                <w:i/>
                <w:iCs/>
                <w:color w:val="000000"/>
                <w:sz w:val="20"/>
                <w:szCs w:val="20"/>
              </w:rPr>
            </w:pPr>
            <w:r w:rsidRPr="005B24A3">
              <w:rPr>
                <w:rFonts w:eastAsia="Times New Roman" w:cstheme="majorBidi"/>
                <w:i/>
                <w:iCs/>
                <w:color w:val="000000"/>
                <w:sz w:val="20"/>
                <w:szCs w:val="20"/>
              </w:rPr>
              <w:t>C</w:t>
            </w:r>
            <w:r w:rsidRPr="005B24A3">
              <w:rPr>
                <w:rFonts w:eastAsia="Times New Roman" w:cstheme="majorBidi"/>
                <w:i/>
                <w:iCs/>
                <w:color w:val="000000"/>
                <w:sz w:val="20"/>
                <w:szCs w:val="20"/>
                <w:vertAlign w:val="subscript"/>
              </w:rPr>
              <w:t>55</w:t>
            </w:r>
          </w:p>
        </w:tc>
        <w:tc>
          <w:tcPr>
            <w:tcW w:w="1176" w:type="dxa"/>
            <w:shd w:val="clear" w:color="auto" w:fill="auto"/>
            <w:noWrap/>
            <w:vAlign w:val="center"/>
            <w:hideMark/>
          </w:tcPr>
          <w:p w14:paraId="3FA9DA7E"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0.996</w:t>
            </w:r>
          </w:p>
        </w:tc>
        <w:tc>
          <w:tcPr>
            <w:tcW w:w="1089" w:type="dxa"/>
            <w:shd w:val="clear" w:color="auto" w:fill="auto"/>
            <w:noWrap/>
            <w:vAlign w:val="center"/>
            <w:hideMark/>
          </w:tcPr>
          <w:p w14:paraId="722FD748"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0.996</w:t>
            </w:r>
          </w:p>
        </w:tc>
        <w:tc>
          <w:tcPr>
            <w:tcW w:w="1176" w:type="dxa"/>
            <w:shd w:val="clear" w:color="auto" w:fill="auto"/>
            <w:noWrap/>
            <w:vAlign w:val="center"/>
            <w:hideMark/>
          </w:tcPr>
          <w:p w14:paraId="3062D83F"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0.985</w:t>
            </w:r>
          </w:p>
        </w:tc>
        <w:tc>
          <w:tcPr>
            <w:tcW w:w="1089" w:type="dxa"/>
            <w:shd w:val="clear" w:color="auto" w:fill="auto"/>
            <w:noWrap/>
            <w:vAlign w:val="center"/>
            <w:hideMark/>
          </w:tcPr>
          <w:p w14:paraId="5B0EC2B9"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0.984</w:t>
            </w:r>
          </w:p>
        </w:tc>
      </w:tr>
      <w:tr w:rsidR="005B24A3" w:rsidRPr="005B24A3" w14:paraId="073D8CAB" w14:textId="77777777" w:rsidTr="005B24A3">
        <w:trPr>
          <w:trHeight w:val="237"/>
          <w:jc w:val="center"/>
        </w:trPr>
        <w:tc>
          <w:tcPr>
            <w:tcW w:w="1124" w:type="dxa"/>
            <w:shd w:val="clear" w:color="auto" w:fill="auto"/>
            <w:noWrap/>
            <w:vAlign w:val="center"/>
            <w:hideMark/>
          </w:tcPr>
          <w:p w14:paraId="24F4C2EA" w14:textId="04FD642C" w:rsidR="005B24A3" w:rsidRPr="005B24A3" w:rsidRDefault="005B24A3" w:rsidP="005B24A3">
            <w:pPr>
              <w:spacing w:after="0" w:line="240" w:lineRule="auto"/>
              <w:jc w:val="center"/>
              <w:rPr>
                <w:rFonts w:eastAsia="Times New Roman" w:cstheme="majorBidi"/>
                <w:i/>
                <w:iCs/>
                <w:color w:val="000000"/>
                <w:sz w:val="20"/>
                <w:szCs w:val="20"/>
              </w:rPr>
            </w:pPr>
            <w:r w:rsidRPr="005B24A3">
              <w:rPr>
                <w:rFonts w:eastAsia="Times New Roman" w:cstheme="majorBidi"/>
                <w:i/>
                <w:iCs/>
                <w:color w:val="000000"/>
                <w:sz w:val="20"/>
                <w:szCs w:val="20"/>
              </w:rPr>
              <w:t>C</w:t>
            </w:r>
            <w:r w:rsidRPr="005B24A3">
              <w:rPr>
                <w:rFonts w:eastAsia="Times New Roman" w:cstheme="majorBidi"/>
                <w:i/>
                <w:iCs/>
                <w:color w:val="000000"/>
                <w:sz w:val="20"/>
                <w:szCs w:val="20"/>
                <w:vertAlign w:val="subscript"/>
              </w:rPr>
              <w:t>56</w:t>
            </w:r>
          </w:p>
        </w:tc>
        <w:tc>
          <w:tcPr>
            <w:tcW w:w="1176" w:type="dxa"/>
            <w:shd w:val="clear" w:color="auto" w:fill="auto"/>
            <w:noWrap/>
            <w:vAlign w:val="center"/>
            <w:hideMark/>
          </w:tcPr>
          <w:p w14:paraId="5CE6593B"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0.987</w:t>
            </w:r>
          </w:p>
        </w:tc>
        <w:tc>
          <w:tcPr>
            <w:tcW w:w="1089" w:type="dxa"/>
            <w:shd w:val="clear" w:color="auto" w:fill="auto"/>
            <w:noWrap/>
            <w:vAlign w:val="center"/>
            <w:hideMark/>
          </w:tcPr>
          <w:p w14:paraId="0BFA1E8E"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0.987</w:t>
            </w:r>
          </w:p>
        </w:tc>
        <w:tc>
          <w:tcPr>
            <w:tcW w:w="1176" w:type="dxa"/>
            <w:shd w:val="clear" w:color="auto" w:fill="auto"/>
            <w:noWrap/>
            <w:vAlign w:val="center"/>
            <w:hideMark/>
          </w:tcPr>
          <w:p w14:paraId="1572D334"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0.95</w:t>
            </w:r>
          </w:p>
        </w:tc>
        <w:tc>
          <w:tcPr>
            <w:tcW w:w="1089" w:type="dxa"/>
            <w:shd w:val="clear" w:color="auto" w:fill="auto"/>
            <w:noWrap/>
            <w:vAlign w:val="center"/>
            <w:hideMark/>
          </w:tcPr>
          <w:p w14:paraId="711D2C68"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0.951</w:t>
            </w:r>
          </w:p>
        </w:tc>
      </w:tr>
      <w:tr w:rsidR="005B24A3" w:rsidRPr="005B24A3" w14:paraId="6C9DBEE3" w14:textId="77777777" w:rsidTr="005B24A3">
        <w:trPr>
          <w:trHeight w:val="237"/>
          <w:jc w:val="center"/>
        </w:trPr>
        <w:tc>
          <w:tcPr>
            <w:tcW w:w="1124" w:type="dxa"/>
            <w:shd w:val="clear" w:color="auto" w:fill="auto"/>
            <w:noWrap/>
            <w:vAlign w:val="center"/>
            <w:hideMark/>
          </w:tcPr>
          <w:p w14:paraId="5F4A2B66" w14:textId="77A8B2BC" w:rsidR="005B24A3" w:rsidRPr="005B24A3" w:rsidRDefault="005B24A3" w:rsidP="005B24A3">
            <w:pPr>
              <w:spacing w:after="0" w:line="240" w:lineRule="auto"/>
              <w:jc w:val="center"/>
              <w:rPr>
                <w:rFonts w:eastAsia="Times New Roman" w:cstheme="majorBidi"/>
                <w:i/>
                <w:iCs/>
                <w:color w:val="000000"/>
                <w:sz w:val="20"/>
                <w:szCs w:val="20"/>
              </w:rPr>
            </w:pPr>
            <w:r w:rsidRPr="005B24A3">
              <w:rPr>
                <w:rFonts w:eastAsia="Times New Roman" w:cstheme="majorBidi"/>
                <w:i/>
                <w:iCs/>
                <w:color w:val="000000"/>
                <w:sz w:val="20"/>
                <w:szCs w:val="20"/>
              </w:rPr>
              <w:t>C</w:t>
            </w:r>
            <w:r w:rsidRPr="005B24A3">
              <w:rPr>
                <w:rFonts w:eastAsia="Times New Roman" w:cstheme="majorBidi"/>
                <w:i/>
                <w:iCs/>
                <w:color w:val="000000"/>
                <w:sz w:val="20"/>
                <w:szCs w:val="20"/>
                <w:vertAlign w:val="subscript"/>
              </w:rPr>
              <w:t>66</w:t>
            </w:r>
          </w:p>
        </w:tc>
        <w:tc>
          <w:tcPr>
            <w:tcW w:w="1176" w:type="dxa"/>
            <w:shd w:val="clear" w:color="auto" w:fill="auto"/>
            <w:noWrap/>
            <w:vAlign w:val="center"/>
            <w:hideMark/>
          </w:tcPr>
          <w:p w14:paraId="3B6FD97F"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0.996</w:t>
            </w:r>
          </w:p>
        </w:tc>
        <w:tc>
          <w:tcPr>
            <w:tcW w:w="1089" w:type="dxa"/>
            <w:shd w:val="clear" w:color="auto" w:fill="auto"/>
            <w:noWrap/>
            <w:vAlign w:val="center"/>
            <w:hideMark/>
          </w:tcPr>
          <w:p w14:paraId="4CF7B720"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0.996</w:t>
            </w:r>
          </w:p>
        </w:tc>
        <w:tc>
          <w:tcPr>
            <w:tcW w:w="1176" w:type="dxa"/>
            <w:shd w:val="clear" w:color="auto" w:fill="auto"/>
            <w:noWrap/>
            <w:vAlign w:val="center"/>
            <w:hideMark/>
          </w:tcPr>
          <w:p w14:paraId="5639263C"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0.988</w:t>
            </w:r>
          </w:p>
        </w:tc>
        <w:tc>
          <w:tcPr>
            <w:tcW w:w="1089" w:type="dxa"/>
            <w:shd w:val="clear" w:color="auto" w:fill="auto"/>
            <w:noWrap/>
            <w:vAlign w:val="center"/>
            <w:hideMark/>
          </w:tcPr>
          <w:p w14:paraId="697C9CF1" w14:textId="77777777" w:rsidR="005B24A3" w:rsidRPr="005B24A3" w:rsidRDefault="005B24A3" w:rsidP="005B24A3">
            <w:pPr>
              <w:spacing w:after="0" w:line="240" w:lineRule="auto"/>
              <w:jc w:val="center"/>
              <w:rPr>
                <w:rFonts w:eastAsia="Times New Roman" w:cstheme="majorBidi"/>
                <w:color w:val="000000"/>
                <w:sz w:val="20"/>
                <w:szCs w:val="20"/>
              </w:rPr>
            </w:pPr>
            <w:r w:rsidRPr="005B24A3">
              <w:rPr>
                <w:rFonts w:eastAsia="Times New Roman" w:cstheme="majorBidi"/>
                <w:color w:val="000000"/>
                <w:sz w:val="20"/>
                <w:szCs w:val="20"/>
              </w:rPr>
              <w:t>0.988</w:t>
            </w:r>
          </w:p>
        </w:tc>
      </w:tr>
    </w:tbl>
    <w:p w14:paraId="07651E2E" w14:textId="77777777" w:rsidR="005B24A3" w:rsidRDefault="005B24A3" w:rsidP="005114C8">
      <w:pPr>
        <w:keepNext/>
        <w:ind w:left="-1080"/>
      </w:pPr>
      <w:r>
        <w:rPr>
          <w:noProof/>
          <w:lang w:bidi="ar-JO"/>
        </w:rPr>
        <w:lastRenderedPageBreak/>
        <w:drawing>
          <wp:inline distT="0" distB="0" distL="0" distR="0" wp14:anchorId="305BDA20" wp14:editId="2B253552">
            <wp:extent cx="7544934" cy="7315200"/>
            <wp:effectExtent l="0" t="0" r="0" b="0"/>
            <wp:docPr id="7" name="Picture 7"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polyg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44934" cy="7315200"/>
                    </a:xfrm>
                    <a:prstGeom prst="rect">
                      <a:avLst/>
                    </a:prstGeom>
                  </pic:spPr>
                </pic:pic>
              </a:graphicData>
            </a:graphic>
          </wp:inline>
        </w:drawing>
      </w:r>
    </w:p>
    <w:p w14:paraId="464E4540" w14:textId="29173B3C" w:rsidR="00182286" w:rsidRDefault="005B24A3" w:rsidP="005114C8">
      <w:pPr>
        <w:pStyle w:val="Caption"/>
        <w:jc w:val="center"/>
      </w:pPr>
      <w:bookmarkStart w:id="8" w:name="_Ref132581872"/>
      <w:r>
        <w:t xml:space="preserve">Supplementary Fig </w:t>
      </w:r>
      <w:fldSimple w:instr=" SEQ Supplementary_Fig \* ARABIC ">
        <w:r w:rsidR="00EE3D9E">
          <w:rPr>
            <w:noProof/>
          </w:rPr>
          <w:t>7</w:t>
        </w:r>
      </w:fldSimple>
      <w:bookmarkEnd w:id="8"/>
      <w:r>
        <w:t>: Comparing the stiffness components from numerical homogenization with the forward model’s predictions for the training data.</w:t>
      </w:r>
    </w:p>
    <w:p w14:paraId="5920DBE3" w14:textId="5CA0886D" w:rsidR="005114C8" w:rsidRDefault="005114C8" w:rsidP="005114C8"/>
    <w:p w14:paraId="5E2853D1" w14:textId="77777777" w:rsidR="005114C8" w:rsidRDefault="005114C8" w:rsidP="005114C8">
      <w:pPr>
        <w:keepNext/>
        <w:ind w:left="-1080"/>
      </w:pPr>
      <w:r>
        <w:rPr>
          <w:noProof/>
        </w:rPr>
        <w:lastRenderedPageBreak/>
        <w:drawing>
          <wp:inline distT="0" distB="0" distL="0" distR="0" wp14:anchorId="4B7878F5" wp14:editId="57B2E985">
            <wp:extent cx="7550758" cy="7315200"/>
            <wp:effectExtent l="0" t="0" r="0" b="0"/>
            <wp:docPr id="8" name="Picture 8"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polyg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50758" cy="7315200"/>
                    </a:xfrm>
                    <a:prstGeom prst="rect">
                      <a:avLst/>
                    </a:prstGeom>
                  </pic:spPr>
                </pic:pic>
              </a:graphicData>
            </a:graphic>
          </wp:inline>
        </w:drawing>
      </w:r>
    </w:p>
    <w:p w14:paraId="159EAC32" w14:textId="4DD309C2" w:rsidR="005114C8" w:rsidRDefault="005114C8" w:rsidP="005114C8">
      <w:pPr>
        <w:pStyle w:val="Caption"/>
        <w:jc w:val="center"/>
      </w:pPr>
      <w:r>
        <w:t xml:space="preserve">Supplementary Fig </w:t>
      </w:r>
      <w:fldSimple w:instr=" SEQ Supplementary_Fig \* ARABIC ">
        <w:r w:rsidR="00EE3D9E">
          <w:rPr>
            <w:noProof/>
          </w:rPr>
          <w:t>8</w:t>
        </w:r>
      </w:fldSimple>
      <w:r>
        <w:t>: Comparing the stiffness components from numerical homogenization with the forward model’s predictions for the testing data.</w:t>
      </w:r>
    </w:p>
    <w:p w14:paraId="11009527" w14:textId="5E66A73F" w:rsidR="005114C8" w:rsidRDefault="005114C8" w:rsidP="005114C8"/>
    <w:p w14:paraId="271AF5C5" w14:textId="77777777" w:rsidR="005114C8" w:rsidRDefault="005114C8" w:rsidP="005114C8">
      <w:pPr>
        <w:keepNext/>
        <w:ind w:left="-1080"/>
      </w:pPr>
      <w:r>
        <w:rPr>
          <w:noProof/>
        </w:rPr>
        <w:lastRenderedPageBreak/>
        <w:drawing>
          <wp:inline distT="0" distB="0" distL="0" distR="0" wp14:anchorId="038111D7" wp14:editId="71B53A4A">
            <wp:extent cx="7550758" cy="7315200"/>
            <wp:effectExtent l="0" t="0" r="0" b="0"/>
            <wp:docPr id="9" name="Picture 9"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polyg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50758" cy="7315200"/>
                    </a:xfrm>
                    <a:prstGeom prst="rect">
                      <a:avLst/>
                    </a:prstGeom>
                  </pic:spPr>
                </pic:pic>
              </a:graphicData>
            </a:graphic>
          </wp:inline>
        </w:drawing>
      </w:r>
    </w:p>
    <w:p w14:paraId="232B10ED" w14:textId="3B1AF8A3" w:rsidR="005114C8" w:rsidRDefault="005114C8" w:rsidP="005114C8">
      <w:pPr>
        <w:pStyle w:val="Caption"/>
        <w:jc w:val="center"/>
      </w:pPr>
      <w:r>
        <w:t xml:space="preserve">Supplementary Fig </w:t>
      </w:r>
      <w:fldSimple w:instr=" SEQ Supplementary_Fig \* ARABIC ">
        <w:r w:rsidR="00EE3D9E">
          <w:rPr>
            <w:noProof/>
          </w:rPr>
          <w:t>9</w:t>
        </w:r>
      </w:fldSimple>
      <w:r>
        <w:t>: Comparing the stiffness components of the target stiffness with the reconstructed stiffness from the inverse model for the training data.</w:t>
      </w:r>
    </w:p>
    <w:p w14:paraId="69CA0FCB" w14:textId="07CCC0FB" w:rsidR="005114C8" w:rsidRDefault="005114C8" w:rsidP="005114C8"/>
    <w:p w14:paraId="161A9F26" w14:textId="77777777" w:rsidR="005114C8" w:rsidRDefault="005114C8" w:rsidP="005114C8">
      <w:pPr>
        <w:keepNext/>
        <w:ind w:left="-1080"/>
      </w:pPr>
      <w:r>
        <w:rPr>
          <w:noProof/>
        </w:rPr>
        <w:lastRenderedPageBreak/>
        <w:drawing>
          <wp:inline distT="0" distB="0" distL="0" distR="0" wp14:anchorId="30D9947D" wp14:editId="28A9498F">
            <wp:extent cx="7550758" cy="7315200"/>
            <wp:effectExtent l="0" t="0" r="0" b="0"/>
            <wp:docPr id="10" name="Picture 10"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polyg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50758" cy="7315200"/>
                    </a:xfrm>
                    <a:prstGeom prst="rect">
                      <a:avLst/>
                    </a:prstGeom>
                  </pic:spPr>
                </pic:pic>
              </a:graphicData>
            </a:graphic>
          </wp:inline>
        </w:drawing>
      </w:r>
    </w:p>
    <w:p w14:paraId="551415AE" w14:textId="16FA445E" w:rsidR="005114C8" w:rsidRPr="005114C8" w:rsidRDefault="005114C8" w:rsidP="005114C8">
      <w:pPr>
        <w:pStyle w:val="Caption"/>
        <w:jc w:val="center"/>
      </w:pPr>
      <w:bookmarkStart w:id="9" w:name="_Ref132581881"/>
      <w:r>
        <w:t xml:space="preserve">Supplementary Fig </w:t>
      </w:r>
      <w:fldSimple w:instr=" SEQ Supplementary_Fig \* ARABIC ">
        <w:r w:rsidR="00EE3D9E">
          <w:rPr>
            <w:noProof/>
          </w:rPr>
          <w:t>10</w:t>
        </w:r>
      </w:fldSimple>
      <w:bookmarkEnd w:id="9"/>
      <w:r>
        <w:t>: Comparing the stiffness components of the target stiffness with the reconstructed stiffness from the inverse model for the testing data.</w:t>
      </w:r>
    </w:p>
    <w:p w14:paraId="63566545" w14:textId="4CADC341" w:rsidR="005114C8" w:rsidRDefault="005114C8" w:rsidP="005114C8"/>
    <w:p w14:paraId="5CCC87D2" w14:textId="2D279DAD" w:rsidR="00FE21F4" w:rsidRPr="009457D4" w:rsidRDefault="00FE21F4" w:rsidP="005114C8">
      <w:pPr>
        <w:rPr>
          <w:b/>
          <w:bCs/>
        </w:rPr>
      </w:pPr>
      <w:r w:rsidRPr="009457D4">
        <w:rPr>
          <w:b/>
          <w:bCs/>
        </w:rPr>
        <w:lastRenderedPageBreak/>
        <w:t xml:space="preserve">Network </w:t>
      </w:r>
      <w:r w:rsidR="009457D4" w:rsidRPr="009457D4">
        <w:rPr>
          <w:b/>
          <w:bCs/>
        </w:rPr>
        <w:t xml:space="preserve">Performance </w:t>
      </w:r>
      <w:r w:rsidR="009457D4">
        <w:rPr>
          <w:b/>
          <w:bCs/>
        </w:rPr>
        <w:t>w</w:t>
      </w:r>
      <w:r w:rsidR="009457D4" w:rsidRPr="009457D4">
        <w:rPr>
          <w:b/>
          <w:bCs/>
        </w:rPr>
        <w:t xml:space="preserve">ith </w:t>
      </w:r>
      <w:r w:rsidRPr="009457D4">
        <w:rPr>
          <w:b/>
          <w:bCs/>
        </w:rPr>
        <w:t xml:space="preserve">Lumpe </w:t>
      </w:r>
      <w:r w:rsidR="009457D4">
        <w:rPr>
          <w:b/>
          <w:bCs/>
        </w:rPr>
        <w:t>a</w:t>
      </w:r>
      <w:r w:rsidR="009457D4" w:rsidRPr="009457D4">
        <w:rPr>
          <w:b/>
          <w:bCs/>
        </w:rPr>
        <w:t xml:space="preserve">nd </w:t>
      </w:r>
      <w:r w:rsidRPr="009457D4">
        <w:rPr>
          <w:b/>
          <w:bCs/>
        </w:rPr>
        <w:t xml:space="preserve">Stankovic </w:t>
      </w:r>
      <w:r w:rsidR="009457D4" w:rsidRPr="009457D4">
        <w:rPr>
          <w:b/>
          <w:bCs/>
        </w:rPr>
        <w:t>Dataset</w:t>
      </w:r>
    </w:p>
    <w:p w14:paraId="18E18B40" w14:textId="444DAADE" w:rsidR="007125A7" w:rsidRDefault="00F738E3" w:rsidP="00CB4B28">
      <w:r w:rsidRPr="00F738E3">
        <w:t xml:space="preserve">In 2021, a dataset was </w:t>
      </w:r>
      <w:r w:rsidR="007125A7">
        <w:t>collected</w:t>
      </w:r>
      <w:r w:rsidRPr="00F738E3">
        <w:t xml:space="preserve"> that contains a diverse range of topologies, encompassing over 17,000 unique configurations, which exhibit various material behaviors ranging from cubic to triclinic structures [5]. Despite this significant progress, the </w:t>
      </w:r>
      <w:r w:rsidR="007125A7">
        <w:t>collected</w:t>
      </w:r>
      <w:r w:rsidRPr="00F738E3">
        <w:t xml:space="preserve"> dataset lacks a method for parameterizing this extensive range of configurations. The dataset provides information on the configuration details and normalized homogenized stiffness components, albeit computed at lower densities than our training data range. To address this issue, we </w:t>
      </w:r>
      <w:r w:rsidR="007125A7">
        <w:t xml:space="preserve">have </w:t>
      </w:r>
      <w:r w:rsidRPr="00F738E3">
        <w:t xml:space="preserve">employed the homogenization method mentioned earlier to calculate the homogenized stiffness tensor for a subset of 2000 randomly selected topologies out of the 17,000. The Phrozen Impact Plus material </w:t>
      </w:r>
      <w:r w:rsidR="007125A7">
        <w:t>is</w:t>
      </w:r>
      <w:r w:rsidRPr="00F738E3">
        <w:t xml:space="preserve"> used as a base material, and a radius of 0.025 </w:t>
      </w:r>
      <w:r w:rsidR="007125A7">
        <w:t>is</w:t>
      </w:r>
      <w:r w:rsidRPr="00F738E3">
        <w:t xml:space="preserve"> utilized</w:t>
      </w:r>
      <w:r w:rsidR="00CB4B28">
        <w:t xml:space="preserve"> for all the chosen configurations</w:t>
      </w:r>
      <w:r w:rsidRPr="00F738E3">
        <w:t>.</w:t>
      </w:r>
      <w:r w:rsidR="00CB4B28">
        <w:t xml:space="preserve"> </w:t>
      </w:r>
      <w:r w:rsidR="00CB4B28" w:rsidRPr="00CB4B28">
        <w:t>We subsequently</w:t>
      </w:r>
      <w:r w:rsidR="00CB4B28">
        <w:t xml:space="preserve"> have</w:t>
      </w:r>
      <w:r w:rsidR="00CB4B28" w:rsidRPr="00CB4B28">
        <w:t xml:space="preserve"> </w:t>
      </w:r>
      <w:r w:rsidR="00CB4B28" w:rsidRPr="007125A7">
        <w:t>compute</w:t>
      </w:r>
      <w:r w:rsidR="00CB4B28">
        <w:t>d</w:t>
      </w:r>
      <w:r w:rsidR="007125A7" w:rsidRPr="007125A7">
        <w:t xml:space="preserve"> the Normalized Mean Squared Error (NMSE) for reconstructed structures predicted using the inverse </w:t>
      </w:r>
      <w:r w:rsidR="004D0E0B" w:rsidRPr="007125A7">
        <w:t>framework and</w:t>
      </w:r>
      <w:r w:rsidR="007125A7" w:rsidRPr="007125A7">
        <w:t xml:space="preserve"> </w:t>
      </w:r>
      <w:r w:rsidR="00CB4B28">
        <w:t xml:space="preserve">have </w:t>
      </w:r>
      <w:r w:rsidR="007125A7" w:rsidRPr="007125A7">
        <w:t>compare</w:t>
      </w:r>
      <w:r w:rsidR="00CB4B28">
        <w:t>d</w:t>
      </w:r>
      <w:r w:rsidR="007125A7" w:rsidRPr="007125A7">
        <w:t xml:space="preserve"> them with configurations from the Lumpe and Stankovic dataset. The frequency of each NMSE range is presented in </w:t>
      </w:r>
      <w:r w:rsidR="00CB4B28">
        <w:fldChar w:fldCharType="begin"/>
      </w:r>
      <w:r w:rsidR="00CB4B28">
        <w:instrText xml:space="preserve"> REF _Ref132635281 \h </w:instrText>
      </w:r>
      <w:r w:rsidR="00CB4B28">
        <w:fldChar w:fldCharType="separate"/>
      </w:r>
      <w:r w:rsidR="00CB4B28">
        <w:t xml:space="preserve">Supplementary Fig </w:t>
      </w:r>
      <w:r w:rsidR="00CB4B28">
        <w:rPr>
          <w:noProof/>
        </w:rPr>
        <w:t>11</w:t>
      </w:r>
      <w:r w:rsidR="00CB4B28">
        <w:fldChar w:fldCharType="end"/>
      </w:r>
      <w:r w:rsidR="00CB4B28">
        <w:t xml:space="preserve">. </w:t>
      </w:r>
      <w:r w:rsidR="007125A7" w:rsidRPr="007125A7">
        <w:t xml:space="preserve">The distribution indicates that the model's performance in reconstructing structures with </w:t>
      </w:r>
      <w:proofErr w:type="gramStart"/>
      <w:r w:rsidR="007125A7" w:rsidRPr="007125A7">
        <w:t>stiffness</w:t>
      </w:r>
      <w:proofErr w:type="gramEnd"/>
      <w:r w:rsidR="007125A7" w:rsidRPr="007125A7">
        <w:t xml:space="preserve"> components </w:t>
      </w:r>
      <w:proofErr w:type="gramStart"/>
      <w:r w:rsidR="007125A7" w:rsidRPr="007125A7">
        <w:t>similar to</w:t>
      </w:r>
      <w:proofErr w:type="gramEnd"/>
      <w:r w:rsidR="007125A7" w:rsidRPr="007125A7">
        <w:t xml:space="preserve"> the Lumpe and Stankovic dataset is currently inadequate to generalize the method to any configuration. Additionally, to exemplify the full inverse design process, four reconstructed configurations with NMSEs lower than 0.05 were randomly selected, and their inverse design process is demonstrated in</w:t>
      </w:r>
      <w:r w:rsidR="00CB4B28">
        <w:t xml:space="preserve"> </w:t>
      </w:r>
      <w:r w:rsidR="00D2368B">
        <w:fldChar w:fldCharType="begin"/>
      </w:r>
      <w:r w:rsidR="00D2368B">
        <w:instrText xml:space="preserve"> REF _Ref132636571 \h </w:instrText>
      </w:r>
      <w:r w:rsidR="00D2368B">
        <w:fldChar w:fldCharType="separate"/>
      </w:r>
      <w:r w:rsidR="00D2368B">
        <w:t xml:space="preserve">Supplementary Fig </w:t>
      </w:r>
      <w:r w:rsidR="00D2368B">
        <w:rPr>
          <w:noProof/>
        </w:rPr>
        <w:t>12</w:t>
      </w:r>
      <w:r w:rsidR="00D2368B">
        <w:fldChar w:fldCharType="end"/>
      </w:r>
      <w:r w:rsidR="007125A7" w:rsidRPr="007125A7">
        <w:t>.</w:t>
      </w:r>
    </w:p>
    <w:p w14:paraId="165A4AF1" w14:textId="77777777" w:rsidR="00CB4B28" w:rsidRDefault="00CB4B28" w:rsidP="00CB4B28">
      <w:pPr>
        <w:keepNext/>
        <w:jc w:val="center"/>
      </w:pPr>
      <w:r>
        <w:rPr>
          <w:noProof/>
        </w:rPr>
        <w:drawing>
          <wp:inline distT="0" distB="0" distL="0" distR="0" wp14:anchorId="17F4DB42" wp14:editId="743E6677">
            <wp:extent cx="4892040" cy="3670598"/>
            <wp:effectExtent l="0" t="0" r="3810" b="635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2324" cy="3678315"/>
                    </a:xfrm>
                    <a:prstGeom prst="rect">
                      <a:avLst/>
                    </a:prstGeom>
                  </pic:spPr>
                </pic:pic>
              </a:graphicData>
            </a:graphic>
          </wp:inline>
        </w:drawing>
      </w:r>
    </w:p>
    <w:p w14:paraId="46BC0F02" w14:textId="530CBCDA" w:rsidR="00CB4B28" w:rsidRDefault="00CB4B28" w:rsidP="00CB4B28">
      <w:pPr>
        <w:pStyle w:val="Caption"/>
        <w:jc w:val="center"/>
      </w:pPr>
      <w:bookmarkStart w:id="10" w:name="_Ref132635281"/>
      <w:r>
        <w:t xml:space="preserve">Supplementary Fig </w:t>
      </w:r>
      <w:fldSimple w:instr=" SEQ Supplementary_Fig \* ARABIC ">
        <w:r w:rsidR="00EE3D9E">
          <w:rPr>
            <w:noProof/>
          </w:rPr>
          <w:t>11</w:t>
        </w:r>
      </w:fldSimple>
      <w:bookmarkEnd w:id="10"/>
      <w:r>
        <w:t>: Histogram of the NMSEs of the inversely reconstructed unit-cells based on the stiffness tensor of Lumpe and Stankovic crystallographic trusses dataset.</w:t>
      </w:r>
    </w:p>
    <w:p w14:paraId="79299AAF" w14:textId="4C202B8D" w:rsidR="00CB4B28" w:rsidRDefault="00CB4B28" w:rsidP="00CB4B28"/>
    <w:p w14:paraId="6792D92C" w14:textId="77777777" w:rsidR="00EE3D9E" w:rsidRDefault="004D0E0B" w:rsidP="00EE3D9E">
      <w:pPr>
        <w:keepNext/>
        <w:ind w:left="-1080"/>
      </w:pPr>
      <w:r>
        <w:rPr>
          <w:noProof/>
        </w:rPr>
        <w:lastRenderedPageBreak/>
        <w:drawing>
          <wp:inline distT="0" distB="0" distL="0" distR="0" wp14:anchorId="046CA809" wp14:editId="3D2286F2">
            <wp:extent cx="7275627" cy="7543800"/>
            <wp:effectExtent l="0" t="0" r="1905" b="0"/>
            <wp:docPr id="12" name="Picture 12"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olyg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75627" cy="7543800"/>
                    </a:xfrm>
                    <a:prstGeom prst="rect">
                      <a:avLst/>
                    </a:prstGeom>
                  </pic:spPr>
                </pic:pic>
              </a:graphicData>
            </a:graphic>
          </wp:inline>
        </w:drawing>
      </w:r>
    </w:p>
    <w:p w14:paraId="0933A35B" w14:textId="771F72D1" w:rsidR="00CB4B28" w:rsidRPr="00CB4B28" w:rsidRDefault="00EE3D9E" w:rsidP="00EE3D9E">
      <w:pPr>
        <w:pStyle w:val="Caption"/>
        <w:jc w:val="center"/>
      </w:pPr>
      <w:bookmarkStart w:id="11" w:name="_Ref132636571"/>
      <w:r>
        <w:t xml:space="preserve">Supplementary Fig </w:t>
      </w:r>
      <w:fldSimple w:instr=" SEQ Supplementary_Fig \* ARABIC ">
        <w:r>
          <w:rPr>
            <w:noProof/>
          </w:rPr>
          <w:t>12</w:t>
        </w:r>
      </w:fldSimple>
      <w:bookmarkEnd w:id="11"/>
      <w:r>
        <w:t>: Inverse reconstruction of unit-cells using the stiffness tensor of configurations from the Lump and Stankovic dataset: A. cub_Z13.3_E543, B. tet_Z12.0_E722, C. cub_Z08.0_E877, and D. cub_Z03.0_E3050.</w:t>
      </w:r>
    </w:p>
    <w:p w14:paraId="398A7BDC" w14:textId="77777777" w:rsidR="00CA6A02" w:rsidRPr="005114C8" w:rsidRDefault="00CA6A02" w:rsidP="005114C8"/>
    <w:p w14:paraId="2DC43A88" w14:textId="77777777" w:rsidR="005B24A3" w:rsidRPr="00D00DE8" w:rsidRDefault="005B24A3" w:rsidP="007B790F">
      <w:pPr>
        <w:rPr>
          <w:lang w:bidi="ar-JO"/>
        </w:rPr>
      </w:pPr>
    </w:p>
    <w:p w14:paraId="2855A52F" w14:textId="4DF7B925" w:rsidR="0021076C" w:rsidRDefault="0021076C" w:rsidP="0021076C">
      <w:pPr>
        <w:pStyle w:val="ListParagraph"/>
        <w:numPr>
          <w:ilvl w:val="0"/>
          <w:numId w:val="2"/>
        </w:numPr>
      </w:pPr>
      <w:r>
        <w:t xml:space="preserve">J. Panetta, Q. Zhou, L. Malomo, N. Pietroni, P. Cignoni, D. Zorin, Elastic textures for additive fabrication, ACM Transactions on Graphics (TOG) 34 (4) (2015) 1–12 </w:t>
      </w:r>
    </w:p>
    <w:p w14:paraId="3E80A129" w14:textId="75F73914" w:rsidR="0021076C" w:rsidRDefault="0021076C" w:rsidP="0021076C">
      <w:pPr>
        <w:pStyle w:val="ListParagraph"/>
        <w:numPr>
          <w:ilvl w:val="0"/>
          <w:numId w:val="2"/>
        </w:numPr>
      </w:pPr>
      <w:r>
        <w:t>W. L. Bond, The mathematics of the physical properties of crystals, The Bell System Technical Journal 22 (1) (1943) 1–72.</w:t>
      </w:r>
    </w:p>
    <w:p w14:paraId="626B053D" w14:textId="2ECF6058" w:rsidR="0021076C" w:rsidRDefault="0021076C" w:rsidP="0021076C">
      <w:pPr>
        <w:pStyle w:val="ListParagraph"/>
        <w:numPr>
          <w:ilvl w:val="0"/>
          <w:numId w:val="2"/>
        </w:numPr>
      </w:pPr>
      <w:r>
        <w:t>J.-H. Bastek, S. Kumar, B. Telgen, R. N. Glaesener, D. M. Kochmann, Inverting the structure–property map of truss metamaterials by deep learning, Proceedings of the National Academy of Sciences 119 (1) (2022)</w:t>
      </w:r>
    </w:p>
    <w:p w14:paraId="3560ED07" w14:textId="67B13F69" w:rsidR="0021076C" w:rsidRDefault="0021076C" w:rsidP="0021076C">
      <w:pPr>
        <w:pStyle w:val="ListParagraph"/>
        <w:numPr>
          <w:ilvl w:val="0"/>
          <w:numId w:val="2"/>
        </w:numPr>
      </w:pPr>
      <w:r>
        <w:t>Y. Zhou, C. Barnes, J. Lu, J. Yang, H. Li, On the continuity of rotation representations in neural networks, in: Proceedings of the IEEE/CVF Conference on Computer Vision and Pattern Recognition, 2019, pp.</w:t>
      </w:r>
    </w:p>
    <w:p w14:paraId="06B6683E" w14:textId="15DA86FF" w:rsidR="0021076C" w:rsidRPr="00CE792F" w:rsidRDefault="0021076C" w:rsidP="0021076C">
      <w:pPr>
        <w:pStyle w:val="ListParagraph"/>
        <w:numPr>
          <w:ilvl w:val="0"/>
          <w:numId w:val="2"/>
        </w:numPr>
      </w:pPr>
      <w:r>
        <w:t>T. S. Lumpe, T. Stankovic, Exploring the property space of periodic cellular structures based on crystal networks, Proceedings of the National Academy of Sciences 118 (7) (2021) e2003504118.</w:t>
      </w:r>
    </w:p>
    <w:sectPr w:rsidR="0021076C" w:rsidRPr="00CE79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17212A"/>
    <w:multiLevelType w:val="hybridMultilevel"/>
    <w:tmpl w:val="E856E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567828"/>
    <w:multiLevelType w:val="hybridMultilevel"/>
    <w:tmpl w:val="01FEC77E"/>
    <w:lvl w:ilvl="0" w:tplc="6DE447B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247C2F"/>
    <w:multiLevelType w:val="hybridMultilevel"/>
    <w:tmpl w:val="CEEA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8390481">
    <w:abstractNumId w:val="2"/>
  </w:num>
  <w:num w:numId="2" w16cid:durableId="429857327">
    <w:abstractNumId w:val="1"/>
  </w:num>
  <w:num w:numId="3" w16cid:durableId="12416026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228"/>
    <w:rsid w:val="0000507B"/>
    <w:rsid w:val="0002537A"/>
    <w:rsid w:val="00051676"/>
    <w:rsid w:val="00057E4A"/>
    <w:rsid w:val="00065228"/>
    <w:rsid w:val="000E6AEC"/>
    <w:rsid w:val="001518F3"/>
    <w:rsid w:val="0015382B"/>
    <w:rsid w:val="0016202A"/>
    <w:rsid w:val="00182286"/>
    <w:rsid w:val="001A002A"/>
    <w:rsid w:val="001C1FE0"/>
    <w:rsid w:val="001C46D8"/>
    <w:rsid w:val="0021076C"/>
    <w:rsid w:val="00226801"/>
    <w:rsid w:val="00294D95"/>
    <w:rsid w:val="00330BE2"/>
    <w:rsid w:val="00375EAE"/>
    <w:rsid w:val="003B6806"/>
    <w:rsid w:val="00414179"/>
    <w:rsid w:val="004671DD"/>
    <w:rsid w:val="004D0E0B"/>
    <w:rsid w:val="005114C8"/>
    <w:rsid w:val="005263FF"/>
    <w:rsid w:val="00542817"/>
    <w:rsid w:val="005B24A3"/>
    <w:rsid w:val="005E3E4E"/>
    <w:rsid w:val="00610C5F"/>
    <w:rsid w:val="0068127D"/>
    <w:rsid w:val="00687585"/>
    <w:rsid w:val="006E6E2E"/>
    <w:rsid w:val="007125A7"/>
    <w:rsid w:val="0077578A"/>
    <w:rsid w:val="007B5F26"/>
    <w:rsid w:val="007B790F"/>
    <w:rsid w:val="008A583D"/>
    <w:rsid w:val="008F151C"/>
    <w:rsid w:val="00922E75"/>
    <w:rsid w:val="009457D4"/>
    <w:rsid w:val="009515F3"/>
    <w:rsid w:val="00965954"/>
    <w:rsid w:val="00986D56"/>
    <w:rsid w:val="009A5689"/>
    <w:rsid w:val="009C7475"/>
    <w:rsid w:val="00A477F7"/>
    <w:rsid w:val="00A65E4A"/>
    <w:rsid w:val="00AB09F7"/>
    <w:rsid w:val="00AF1343"/>
    <w:rsid w:val="00AF230F"/>
    <w:rsid w:val="00B17564"/>
    <w:rsid w:val="00B53C9A"/>
    <w:rsid w:val="00B756F1"/>
    <w:rsid w:val="00BB5EF5"/>
    <w:rsid w:val="00C738C9"/>
    <w:rsid w:val="00C87A0D"/>
    <w:rsid w:val="00CA6A02"/>
    <w:rsid w:val="00CB4B28"/>
    <w:rsid w:val="00CD7239"/>
    <w:rsid w:val="00CE792F"/>
    <w:rsid w:val="00D00DE8"/>
    <w:rsid w:val="00D2368B"/>
    <w:rsid w:val="00D70D7D"/>
    <w:rsid w:val="00DF1E8B"/>
    <w:rsid w:val="00E72AA0"/>
    <w:rsid w:val="00E75FCC"/>
    <w:rsid w:val="00EC7338"/>
    <w:rsid w:val="00EE13A8"/>
    <w:rsid w:val="00EE3D9E"/>
    <w:rsid w:val="00F42DC3"/>
    <w:rsid w:val="00F738E3"/>
    <w:rsid w:val="00FB5E20"/>
    <w:rsid w:val="00FC3486"/>
    <w:rsid w:val="00FE21F4"/>
    <w:rsid w:val="00FF364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1D916"/>
  <w15:chartTrackingRefBased/>
  <w15:docId w15:val="{DA7A9116-EBDA-4450-A620-F228A39D5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02A"/>
    <w:rPr>
      <w:rFonts w:asciiTheme="majorBidi" w:hAnsi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C7338"/>
    <w:pPr>
      <w:spacing w:after="200" w:line="240" w:lineRule="auto"/>
    </w:pPr>
    <w:rPr>
      <w:iCs/>
      <w:color w:val="000000" w:themeColor="text1"/>
      <w:szCs w:val="18"/>
    </w:rPr>
  </w:style>
  <w:style w:type="paragraph" w:styleId="ListParagraph">
    <w:name w:val="List Paragraph"/>
    <w:basedOn w:val="Normal"/>
    <w:uiPriority w:val="34"/>
    <w:qFormat/>
    <w:rsid w:val="00610C5F"/>
    <w:pPr>
      <w:ind w:left="720"/>
      <w:contextualSpacing/>
    </w:pPr>
  </w:style>
  <w:style w:type="character" w:styleId="PlaceholderText">
    <w:name w:val="Placeholder Text"/>
    <w:basedOn w:val="DefaultParagraphFont"/>
    <w:uiPriority w:val="99"/>
    <w:semiHidden/>
    <w:rsid w:val="00965954"/>
    <w:rPr>
      <w:color w:val="808080"/>
    </w:rPr>
  </w:style>
  <w:style w:type="table" w:styleId="TableGrid">
    <w:name w:val="Table Grid"/>
    <w:basedOn w:val="TableNormal"/>
    <w:uiPriority w:val="39"/>
    <w:rsid w:val="009515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266011">
      <w:bodyDiv w:val="1"/>
      <w:marLeft w:val="0"/>
      <w:marRight w:val="0"/>
      <w:marTop w:val="0"/>
      <w:marBottom w:val="0"/>
      <w:divBdr>
        <w:top w:val="none" w:sz="0" w:space="0" w:color="auto"/>
        <w:left w:val="none" w:sz="0" w:space="0" w:color="auto"/>
        <w:bottom w:val="none" w:sz="0" w:space="0" w:color="auto"/>
        <w:right w:val="none" w:sz="0" w:space="0" w:color="auto"/>
      </w:divBdr>
    </w:div>
    <w:div w:id="633682258">
      <w:bodyDiv w:val="1"/>
      <w:marLeft w:val="0"/>
      <w:marRight w:val="0"/>
      <w:marTop w:val="0"/>
      <w:marBottom w:val="0"/>
      <w:divBdr>
        <w:top w:val="none" w:sz="0" w:space="0" w:color="auto"/>
        <w:left w:val="none" w:sz="0" w:space="0" w:color="auto"/>
        <w:bottom w:val="none" w:sz="0" w:space="0" w:color="auto"/>
        <w:right w:val="none" w:sz="0" w:space="0" w:color="auto"/>
      </w:divBdr>
      <w:divsChild>
        <w:div w:id="823543865">
          <w:marLeft w:val="0"/>
          <w:marRight w:val="0"/>
          <w:marTop w:val="0"/>
          <w:marBottom w:val="0"/>
          <w:divBdr>
            <w:top w:val="none" w:sz="0" w:space="0" w:color="auto"/>
            <w:left w:val="none" w:sz="0" w:space="0" w:color="auto"/>
            <w:bottom w:val="none" w:sz="0" w:space="0" w:color="auto"/>
            <w:right w:val="none" w:sz="0" w:space="0" w:color="auto"/>
          </w:divBdr>
          <w:divsChild>
            <w:div w:id="43032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4724">
      <w:bodyDiv w:val="1"/>
      <w:marLeft w:val="0"/>
      <w:marRight w:val="0"/>
      <w:marTop w:val="0"/>
      <w:marBottom w:val="0"/>
      <w:divBdr>
        <w:top w:val="none" w:sz="0" w:space="0" w:color="auto"/>
        <w:left w:val="none" w:sz="0" w:space="0" w:color="auto"/>
        <w:bottom w:val="none" w:sz="0" w:space="0" w:color="auto"/>
        <w:right w:val="none" w:sz="0" w:space="0" w:color="auto"/>
      </w:divBdr>
    </w:div>
    <w:div w:id="1964772320">
      <w:bodyDiv w:val="1"/>
      <w:marLeft w:val="0"/>
      <w:marRight w:val="0"/>
      <w:marTop w:val="0"/>
      <w:marBottom w:val="0"/>
      <w:divBdr>
        <w:top w:val="none" w:sz="0" w:space="0" w:color="auto"/>
        <w:left w:val="none" w:sz="0" w:space="0" w:color="auto"/>
        <w:bottom w:val="none" w:sz="0" w:space="0" w:color="auto"/>
        <w:right w:val="none" w:sz="0" w:space="0" w:color="auto"/>
      </w:divBdr>
      <w:divsChild>
        <w:div w:id="1521309307">
          <w:marLeft w:val="0"/>
          <w:marRight w:val="0"/>
          <w:marTop w:val="0"/>
          <w:marBottom w:val="0"/>
          <w:divBdr>
            <w:top w:val="none" w:sz="0" w:space="0" w:color="auto"/>
            <w:left w:val="none" w:sz="0" w:space="0" w:color="auto"/>
            <w:bottom w:val="none" w:sz="0" w:space="0" w:color="auto"/>
            <w:right w:val="none" w:sz="0" w:space="0" w:color="auto"/>
          </w:divBdr>
          <w:divsChild>
            <w:div w:id="8101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2C4FFF-1657-4169-B922-C407147F2068}">
  <we:reference id="f78a3046-9e99-4300-aa2b-5814002b01a2" version="1.55.1.0" store="EXCatalog" storeType="EXCatalog"/>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4D5F3-2951-475B-999E-CB82305D5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TotalTime>
  <Pages>1</Pages>
  <Words>2804</Words>
  <Characters>15986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Abu-Mualla, Mohammad</dc:creator>
  <cp:keywords/>
  <dc:description/>
  <cp:lastModifiedBy>Huang, Jida</cp:lastModifiedBy>
  <cp:revision>61</cp:revision>
  <dcterms:created xsi:type="dcterms:W3CDTF">2023-04-09T22:25:00Z</dcterms:created>
  <dcterms:modified xsi:type="dcterms:W3CDTF">2023-05-19T16:40:00Z</dcterms:modified>
</cp:coreProperties>
</file>