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after="160"/>
        <w:jc w:val="left"/>
      </w:pPr>
      <w:r>
        <w:rPr>
          <w:rFonts w:ascii="Calibri" w:hAnsi="Calibri"/>
          <w:b w:val="0"/>
          <w:i w:val="0"/>
          <w:color w:val="161814"/>
          <w:sz w:val="22"/>
        </w:rPr>
        <w:t>RAPPORT DE PHASE</w:t>
      </w:r>
    </w:p>
    <w:p>
      <w:pPr>
        <w:spacing w:after="60" w:before="400"/>
        <w:jc w:val="left"/>
      </w:pPr>
      <w:r>
        <w:rPr>
          <w:rFonts w:ascii="Calibri" w:hAnsi="Calibri"/>
          <w:b/>
          <w:i w:val="0"/>
          <w:color w:val="133A31"/>
          <w:sz w:val="56"/>
        </w:rPr>
        <w:t>Projet VIPCAR Tunisia</w:t>
      </w:r>
    </w:p>
    <w:p>
      <w:pPr>
        <w:spacing w:after="400"/>
        <w:jc w:val="left"/>
      </w:pPr>
      <w:r>
        <w:rPr>
          <w:rFonts w:ascii="Calibri" w:hAnsi="Calibri"/>
          <w:b w:val="0"/>
          <w:i w:val="0"/>
          <w:color w:val="6D7068"/>
          <w:sz w:val="30"/>
        </w:rPr>
        <w:t>Bilan des travaux réalisés et niveau d’avancement</w:t>
      </w:r>
    </w:p>
    <w:tbl>
      <w:tblPr>
        <w:tblW w:type="auto" w:w="0"/>
        <w:jc w:val="left"/>
        <w:tblLayout w:type="fixed"/>
        <w:tblLook w:firstColumn="1" w:firstRow="1" w:lastColumn="0" w:lastRow="0" w:noHBand="0" w:noVBand="1" w:val="04A0"/>
        <w:tblW w:w="9360" w:type="dxa"/>
      </w:tblPr>
      <w:tblGrid>
        <w:gridCol w:w="1800"/>
        <w:gridCol w:w="7560"/>
      </w:tblGrid>
      <w:tr>
        <w:tc>
          <w:tcPr>
            <w:tcW w:type="dxa" w:w="4680"/>
            <w:tcW w:w="1800" w:type="dxa"/>
            <w:tcBorders>
              <w:top w:val="single" w:sz="6" w:space="0" w:color="DCDCD4"/>
              <w:left w:val="single" w:sz="6" w:space="0" w:color="DCDCD4"/>
              <w:bottom w:val="single" w:sz="6" w:space="0" w:color="DCDCD4"/>
              <w:right w:val="single" w:sz="6" w:space="0" w:color="DCDCD4"/>
            </w:tcBorders>
            <w:tcMar>
              <w:top w:w="85" w:type="dxa"/>
              <w:start w:w="120" w:type="dxa"/>
              <w:bottom w:w="85" w:type="dxa"/>
              <w:end w:w="120" w:type="dxa"/>
            </w:tcMar>
            <w:shd w:fill="F7F5EF"/>
          </w:tcPr>
          <w:p>
            <w:r>
              <w:rPr>
                <w:rFonts w:ascii="Calibri" w:hAnsi="Calibri"/>
                <w:b/>
                <w:i w:val="0"/>
                <w:color w:val="133A31"/>
                <w:sz w:val="18"/>
              </w:rPr>
              <w:t>Client</w:t>
            </w:r>
          </w:p>
        </w:tc>
        <w:tc>
          <w:tcPr>
            <w:tcW w:type="dxa" w:w="4680"/>
            <w:tcW w:w="7560" w:type="dxa"/>
            <w:tcBorders>
              <w:top w:val="single" w:sz="6" w:space="0" w:color="DCDCD4"/>
              <w:left w:val="single" w:sz="6" w:space="0" w:color="DCDCD4"/>
              <w:bottom w:val="single" w:sz="6" w:space="0" w:color="DCDCD4"/>
              <w:right w:val="single" w:sz="6" w:space="0" w:color="DCDCD4"/>
            </w:tcBorders>
            <w:tcMar>
              <w:top w:w="85" w:type="dxa"/>
              <w:start w:w="120" w:type="dxa"/>
              <w:bottom w:w="85" w:type="dxa"/>
              <w:end w:w="120" w:type="dxa"/>
            </w:tcMar>
          </w:tcPr>
          <w:p>
            <w:r>
              <w:rPr>
                <w:rFonts w:ascii="Calibri" w:hAnsi="Calibri"/>
                <w:b w:val="0"/>
                <w:i w:val="0"/>
                <w:color w:val="161814"/>
                <w:sz w:val="21"/>
              </w:rPr>
              <w:t>VIPCAR Tunisia</w:t>
            </w:r>
          </w:p>
        </w:tc>
      </w:tr>
      <w:tr>
        <w:tc>
          <w:tcPr>
            <w:tcW w:type="dxa" w:w="4680"/>
            <w:tcW w:w="1800" w:type="dxa"/>
            <w:tcBorders>
              <w:top w:val="single" w:sz="6" w:space="0" w:color="DCDCD4"/>
              <w:left w:val="single" w:sz="6" w:space="0" w:color="DCDCD4"/>
              <w:bottom w:val="single" w:sz="6" w:space="0" w:color="DCDCD4"/>
              <w:right w:val="single" w:sz="6" w:space="0" w:color="DCDCD4"/>
            </w:tcBorders>
            <w:tcMar>
              <w:top w:w="85" w:type="dxa"/>
              <w:start w:w="120" w:type="dxa"/>
              <w:bottom w:w="85" w:type="dxa"/>
              <w:end w:w="120" w:type="dxa"/>
            </w:tcMar>
            <w:shd w:fill="F7F5EF"/>
          </w:tcPr>
          <w:p>
            <w:r>
              <w:rPr>
                <w:rFonts w:ascii="Calibri" w:hAnsi="Calibri"/>
                <w:b/>
                <w:i w:val="0"/>
                <w:color w:val="133A31"/>
                <w:sz w:val="18"/>
              </w:rPr>
              <w:t>Périmètre</w:t>
            </w:r>
          </w:p>
        </w:tc>
        <w:tc>
          <w:tcPr>
            <w:tcW w:type="dxa" w:w="4680"/>
            <w:tcW w:w="7560" w:type="dxa"/>
            <w:tcBorders>
              <w:top w:val="single" w:sz="6" w:space="0" w:color="DCDCD4"/>
              <w:left w:val="single" w:sz="6" w:space="0" w:color="DCDCD4"/>
              <w:bottom w:val="single" w:sz="6" w:space="0" w:color="DCDCD4"/>
              <w:right w:val="single" w:sz="6" w:space="0" w:color="DCDCD4"/>
            </w:tcBorders>
            <w:tcMar>
              <w:top w:w="85" w:type="dxa"/>
              <w:start w:w="120" w:type="dxa"/>
              <w:bottom w:w="85" w:type="dxa"/>
              <w:end w:w="120" w:type="dxa"/>
            </w:tcMar>
          </w:tcPr>
          <w:p>
            <w:r>
              <w:rPr>
                <w:rFonts w:ascii="Calibri" w:hAnsi="Calibri"/>
                <w:b w:val="0"/>
                <w:i w:val="0"/>
                <w:color w:val="161814"/>
                <w:sz w:val="21"/>
              </w:rPr>
              <w:t>Site web, UX/UI, flotte, SEO et responsive</w:t>
            </w:r>
          </w:p>
        </w:tc>
      </w:tr>
      <w:tr>
        <w:tc>
          <w:tcPr>
            <w:tcW w:type="dxa" w:w="4680"/>
            <w:tcW w:w="1800" w:type="dxa"/>
            <w:tcBorders>
              <w:top w:val="single" w:sz="6" w:space="0" w:color="DCDCD4"/>
              <w:left w:val="single" w:sz="6" w:space="0" w:color="DCDCD4"/>
              <w:bottom w:val="single" w:sz="6" w:space="0" w:color="DCDCD4"/>
              <w:right w:val="single" w:sz="6" w:space="0" w:color="DCDCD4"/>
            </w:tcBorders>
            <w:tcMar>
              <w:top w:w="85" w:type="dxa"/>
              <w:start w:w="120" w:type="dxa"/>
              <w:bottom w:w="85" w:type="dxa"/>
              <w:end w:w="120" w:type="dxa"/>
            </w:tcMar>
            <w:shd w:fill="F7F5EF"/>
          </w:tcPr>
          <w:p>
            <w:r>
              <w:rPr>
                <w:rFonts w:ascii="Calibri" w:hAnsi="Calibri"/>
                <w:b/>
                <w:i w:val="0"/>
                <w:color w:val="133A31"/>
                <w:sz w:val="18"/>
              </w:rPr>
              <w:t>Phase</w:t>
            </w:r>
          </w:p>
        </w:tc>
        <w:tc>
          <w:tcPr>
            <w:tcW w:type="dxa" w:w="4680"/>
            <w:tcW w:w="7560" w:type="dxa"/>
            <w:tcBorders>
              <w:top w:val="single" w:sz="6" w:space="0" w:color="DCDCD4"/>
              <w:left w:val="single" w:sz="6" w:space="0" w:color="DCDCD4"/>
              <w:bottom w:val="single" w:sz="6" w:space="0" w:color="DCDCD4"/>
              <w:right w:val="single" w:sz="6" w:space="0" w:color="DCDCD4"/>
            </w:tcBorders>
            <w:tcMar>
              <w:top w:w="85" w:type="dxa"/>
              <w:start w:w="120" w:type="dxa"/>
              <w:bottom w:w="85" w:type="dxa"/>
              <w:end w:w="120" w:type="dxa"/>
            </w:tcMar>
          </w:tcPr>
          <w:p>
            <w:r>
              <w:rPr>
                <w:rFonts w:ascii="Calibri" w:hAnsi="Calibri"/>
                <w:b w:val="0"/>
                <w:i w:val="0"/>
                <w:color w:val="161814"/>
                <w:sz w:val="21"/>
              </w:rPr>
              <w:t>Construction, intégration et optimisation</w:t>
            </w:r>
          </w:p>
        </w:tc>
      </w:tr>
      <w:tr>
        <w:tc>
          <w:tcPr>
            <w:tcW w:type="dxa" w:w="4680"/>
            <w:tcW w:w="1800" w:type="dxa"/>
            <w:tcBorders>
              <w:top w:val="single" w:sz="6" w:space="0" w:color="DCDCD4"/>
              <w:left w:val="single" w:sz="6" w:space="0" w:color="DCDCD4"/>
              <w:bottom w:val="single" w:sz="6" w:space="0" w:color="DCDCD4"/>
              <w:right w:val="single" w:sz="6" w:space="0" w:color="DCDCD4"/>
            </w:tcBorders>
            <w:tcMar>
              <w:top w:w="85" w:type="dxa"/>
              <w:start w:w="120" w:type="dxa"/>
              <w:bottom w:w="85" w:type="dxa"/>
              <w:end w:w="120" w:type="dxa"/>
            </w:tcMar>
            <w:shd w:fill="F7F5EF"/>
          </w:tcPr>
          <w:p>
            <w:r>
              <w:rPr>
                <w:rFonts w:ascii="Calibri" w:hAnsi="Calibri"/>
                <w:b/>
                <w:i w:val="0"/>
                <w:color w:val="133A31"/>
                <w:sz w:val="18"/>
              </w:rPr>
              <w:t>Date</w:t>
            </w:r>
          </w:p>
        </w:tc>
        <w:tc>
          <w:tcPr>
            <w:tcW w:type="dxa" w:w="4680"/>
            <w:tcW w:w="7560" w:type="dxa"/>
            <w:tcBorders>
              <w:top w:val="single" w:sz="6" w:space="0" w:color="DCDCD4"/>
              <w:left w:val="single" w:sz="6" w:space="0" w:color="DCDCD4"/>
              <w:bottom w:val="single" w:sz="6" w:space="0" w:color="DCDCD4"/>
              <w:right w:val="single" w:sz="6" w:space="0" w:color="DCDCD4"/>
            </w:tcBorders>
            <w:tcMar>
              <w:top w:w="85" w:type="dxa"/>
              <w:start w:w="120" w:type="dxa"/>
              <w:bottom w:w="85" w:type="dxa"/>
              <w:end w:w="120" w:type="dxa"/>
            </w:tcMar>
          </w:tcPr>
          <w:p>
            <w:r>
              <w:rPr>
                <w:rFonts w:ascii="Calibri" w:hAnsi="Calibri"/>
                <w:b w:val="0"/>
                <w:i w:val="0"/>
                <w:color w:val="161814"/>
                <w:sz w:val="21"/>
              </w:rPr>
              <w:t>23 août 2026</w:t>
            </w:r>
          </w:p>
        </w:tc>
      </w:tr>
    </w:tbl>
    <w:p>
      <w:pPr>
        <w:spacing w:after="240"/>
        <w:jc w:val="left"/>
      </w:pPr>
    </w:p>
    <w:tbl>
      <w:tblPr>
        <w:tblW w:type="auto" w:w="0"/>
        <w:jc w:val="center"/>
        <w:tblLayout w:type="fixed"/>
        <w:tblLook w:firstColumn="1" w:firstRow="1" w:lastColumn="0" w:lastRow="0" w:noHBand="0" w:noVBand="1" w:val="04A0"/>
        <w:tblW w:w="9360" w:type="dxa"/>
      </w:tblPr>
      <w:tblGrid>
        <w:gridCol w:w="9360"/>
      </w:tblGrid>
      <w:tr>
        <w:tc>
          <w:tcPr>
            <w:tcW w:type="dxa" w:w="9360"/>
            <w:tcW w:w="9360" w:type="dxa"/>
            <w:shd w:fill="F1F1EB"/>
            <w:tcBorders>
              <w:top w:val="single" w:sz="6" w:space="0" w:color="D7D8D1"/>
              <w:left w:val="single" w:sz="6" w:space="0" w:color="D7D8D1"/>
              <w:bottom w:val="single" w:sz="6" w:space="0" w:color="D7D8D1"/>
              <w:right w:val="single" w:sz="6" w:space="0" w:color="D7D8D1"/>
            </w:tcBorders>
            <w:tcMar>
              <w:top w:w="150" w:type="dxa"/>
              <w:start w:w="180" w:type="dxa"/>
              <w:bottom w:w="150" w:type="dxa"/>
              <w:end w:w="180" w:type="dxa"/>
            </w:tcMar>
          </w:tcPr>
          <w:p>
            <w:r>
              <w:rPr>
                <w:rFonts w:ascii="Calibri" w:hAnsi="Calibri"/>
                <w:b/>
                <w:i w:val="0"/>
                <w:color w:val="B48A46"/>
                <w:sz w:val="18"/>
              </w:rPr>
              <w:t>SYNTHÈSE EXÉCUTIVE</w:t>
            </w:r>
          </w:p>
          <w:p>
            <w:pPr>
              <w:spacing w:after="0"/>
            </w:pPr>
            <w:r>
              <w:rPr>
                <w:rFonts w:ascii="Calibri" w:hAnsi="Calibri"/>
                <w:b w:val="0"/>
                <w:i w:val="0"/>
                <w:color w:val="161814"/>
                <w:sz w:val="21"/>
              </w:rPr>
              <w:t>La phase a permis de transformer le projet VIPCAR en une plateforme bilingue de mobilité en Tunisie, avec une flotte enrichie, des parcours de réservation, des pages locales orientées SEO et une interface responsive revue sur desktop, tablette et mobile.</w:t>
            </w:r>
          </w:p>
        </w:tc>
      </w:tr>
    </w:tbl>
    <w:p>
      <w:pPr>
        <w:pStyle w:val="Heading1"/>
      </w:pPr>
      <w:r>
        <w:t>1. Objectif de la phase</w:t>
      </w:r>
    </w:p>
    <w:p>
      <w:pPr>
        <w:jc w:val="left"/>
      </w:pPr>
      <w:r>
        <w:rPr>
          <w:rFonts w:ascii="Calibri" w:hAnsi="Calibri"/>
          <w:b w:val="0"/>
          <w:i w:val="0"/>
          <w:color w:val="161814"/>
          <w:sz w:val="22"/>
        </w:rPr>
        <w:t>L’objectif était de construire une base digitale premium pour VIPCAR, capable de présenter clairement les services de location de voiture, de transferts aéroport et de chauffeur privé, tout en facilitant la prise de contact et la demande de devis via WhatsApp.</w:t>
      </w:r>
    </w:p>
    <w:p>
      <w:pPr>
        <w:pStyle w:val="ListBullet"/>
        <w:spacing w:after="80" w:line="264" w:lineRule="auto"/>
      </w:pPr>
      <w:r>
        <w:rPr>
          <w:rFonts w:ascii="Calibri" w:hAnsi="Calibri"/>
          <w:b w:val="0"/>
          <w:i w:val="0"/>
          <w:color w:val="161814"/>
          <w:sz w:val="22"/>
        </w:rPr>
        <w:t>Structurer une expérience cohérente en anglais et en français.</w:t>
      </w:r>
    </w:p>
    <w:p>
      <w:pPr>
        <w:pStyle w:val="ListBullet"/>
        <w:spacing w:after="80" w:line="264" w:lineRule="auto"/>
      </w:pPr>
      <w:r>
        <w:rPr>
          <w:rFonts w:ascii="Calibri" w:hAnsi="Calibri"/>
          <w:b w:val="0"/>
          <w:i w:val="0"/>
          <w:color w:val="161814"/>
          <w:sz w:val="22"/>
        </w:rPr>
        <w:t>Présenter la flotte et les catégories de véhicules de manière claire.</w:t>
      </w:r>
    </w:p>
    <w:p>
      <w:pPr>
        <w:pStyle w:val="ListBullet"/>
        <w:spacing w:after="80" w:line="264" w:lineRule="auto"/>
      </w:pPr>
      <w:r>
        <w:rPr>
          <w:rFonts w:ascii="Calibri" w:hAnsi="Calibri"/>
          <w:b w:val="0"/>
          <w:i w:val="0"/>
          <w:color w:val="161814"/>
          <w:sz w:val="22"/>
        </w:rPr>
        <w:t>Développer des pages services, destinations et contenus éditoriaux utiles.</w:t>
      </w:r>
    </w:p>
    <w:p>
      <w:pPr>
        <w:pStyle w:val="ListBullet"/>
        <w:spacing w:after="80" w:line="264" w:lineRule="auto"/>
      </w:pPr>
      <w:r>
        <w:rPr>
          <w:rFonts w:ascii="Calibri" w:hAnsi="Calibri"/>
          <w:b w:val="0"/>
          <w:i w:val="0"/>
          <w:color w:val="161814"/>
          <w:sz w:val="22"/>
        </w:rPr>
        <w:t>Poser une base SEO technique et éditoriale exploitable pour la suite.</w:t>
      </w:r>
    </w:p>
    <w:p>
      <w:pPr>
        <w:pStyle w:val="Heading1"/>
      </w:pPr>
      <w:r>
        <w:t>2. Travaux réalisés</w:t>
      </w:r>
    </w:p>
    <w:p>
      <w:pPr>
        <w:pStyle w:val="Heading2"/>
      </w:pPr>
      <w:r>
        <w:t>2.1 Architecture et navigation</w:t>
      </w:r>
    </w:p>
    <w:p>
      <w:pPr>
        <w:jc w:val="left"/>
      </w:pPr>
      <w:r>
        <w:rPr>
          <w:rFonts w:ascii="Calibri" w:hAnsi="Calibri"/>
          <w:b w:val="0"/>
          <w:i w:val="0"/>
          <w:color w:val="161814"/>
          <w:sz w:val="22"/>
        </w:rPr>
        <w:t>Une architecture complète a été mise en place autour des principaux besoins du parcours client : accueil, flotte, services, réservation, destinations, blog, corporate, contact, FAQ et pages légales.</w:t>
      </w:r>
    </w:p>
    <w:p>
      <w:pPr>
        <w:pStyle w:val="ListBullet"/>
        <w:spacing w:after="80" w:line="264" w:lineRule="auto"/>
      </w:pPr>
      <w:r>
        <w:rPr>
          <w:rFonts w:ascii="Calibri" w:hAnsi="Calibri"/>
          <w:b w:val="0"/>
          <w:i w:val="0"/>
          <w:color w:val="161814"/>
          <w:sz w:val="22"/>
        </w:rPr>
        <w:t>Navigation bilingue avec changement de langue conservant la page consultée.</w:t>
      </w:r>
    </w:p>
    <w:p>
      <w:pPr>
        <w:pStyle w:val="ListBullet"/>
        <w:spacing w:after="80" w:line="264" w:lineRule="auto"/>
      </w:pPr>
      <w:r>
        <w:rPr>
          <w:rFonts w:ascii="Calibri" w:hAnsi="Calibri"/>
          <w:b w:val="0"/>
          <w:i w:val="0"/>
          <w:color w:val="161814"/>
          <w:sz w:val="22"/>
        </w:rPr>
        <w:t>Routes dédiées pour les véhicules, les villes, les aéroports et les services avec chauffeur.</w:t>
      </w:r>
    </w:p>
    <w:p>
      <w:pPr>
        <w:pStyle w:val="ListBullet"/>
        <w:spacing w:after="80" w:line="264" w:lineRule="auto"/>
      </w:pPr>
      <w:r>
        <w:rPr>
          <w:rFonts w:ascii="Calibri" w:hAnsi="Calibri"/>
          <w:b w:val="0"/>
          <w:i w:val="0"/>
          <w:color w:val="161814"/>
          <w:sz w:val="22"/>
        </w:rPr>
        <w:t>Header, menu mobile, CTA de réservation et liens WhatsApp intégrés à l’ensemble du site.</w:t>
      </w:r>
    </w:p>
    <w:p>
      <w:pPr>
        <w:pStyle w:val="Heading2"/>
      </w:pPr>
      <w:r>
        <w:t>2.2 Flotte et fiches véhicules</w:t>
      </w:r>
    </w:p>
    <w:p>
      <w:pPr>
        <w:jc w:val="left"/>
      </w:pPr>
      <w:r>
        <w:rPr>
          <w:rFonts w:ascii="Calibri" w:hAnsi="Calibri"/>
          <w:b w:val="0"/>
          <w:i w:val="0"/>
          <w:color w:val="161814"/>
          <w:sz w:val="22"/>
        </w:rPr>
        <w:t>La flotte a été enrichie et structurée autour de 18 véhicules, répartis entre modèles économiques, compacts, berlines, SUV, premium, pick-up et véhicules de groupe.</w:t>
      </w:r>
    </w:p>
    <w:tbl>
      <w:tblPr>
        <w:tblW w:type="auto" w:w="0"/>
        <w:jc w:val="center"/>
        <w:tblLayout w:type="fixed"/>
        <w:tblLook w:firstColumn="1" w:firstRow="1" w:lastColumn="0" w:lastRow="0" w:noHBand="0" w:noVBand="1" w:val="04A0"/>
        <w:tblW w:w="9360" w:type="dxa"/>
      </w:tblPr>
      <w:tblGrid>
        <w:gridCol w:w="1800"/>
        <w:gridCol w:w="1800"/>
        <w:gridCol w:w="5760"/>
      </w:tblGrid>
      <w:tr>
        <w:tc>
          <w:tcPr>
            <w:tcW w:type="dxa" w:w="3120"/>
            <w:tcW w:w="1800" w:type="dxa"/>
            <w:shd w:fill="133A31"/>
            <w:tcBorders>
              <w:top w:val="single" w:sz="6" w:space="0" w:color="133A31"/>
              <w:left w:val="single" w:sz="6" w:space="0" w:color="133A31"/>
              <w:bottom w:val="single" w:sz="6" w:space="0" w:color="133A31"/>
              <w:right w:val="single" w:sz="6" w:space="0" w:color="133A31"/>
            </w:tcBorders>
            <w:tcMar>
              <w:top w:w="100" w:type="dxa"/>
              <w:start w:w="140" w:type="dxa"/>
              <w:bottom w:w="100" w:type="dxa"/>
              <w:end w:w="140" w:type="dxa"/>
            </w:tcMar>
          </w:tcPr>
          <w:p>
            <w:r>
              <w:rPr>
                <w:rFonts w:ascii="Calibri" w:hAnsi="Calibri"/>
                <w:b/>
                <w:i w:val="0"/>
                <w:color w:val="FFFFFF"/>
                <w:sz w:val="18"/>
              </w:rPr>
              <w:t>Domaine</w:t>
            </w:r>
          </w:p>
        </w:tc>
        <w:tc>
          <w:tcPr>
            <w:tcW w:type="dxa" w:w="3120"/>
            <w:tcW w:w="1800" w:type="dxa"/>
            <w:shd w:fill="133A31"/>
            <w:tcBorders>
              <w:top w:val="single" w:sz="6" w:space="0" w:color="133A31"/>
              <w:left w:val="single" w:sz="6" w:space="0" w:color="133A31"/>
              <w:bottom w:val="single" w:sz="6" w:space="0" w:color="133A31"/>
              <w:right w:val="single" w:sz="6" w:space="0" w:color="133A31"/>
            </w:tcBorders>
            <w:tcMar>
              <w:top w:w="100" w:type="dxa"/>
              <w:start w:w="140" w:type="dxa"/>
              <w:bottom w:w="100" w:type="dxa"/>
              <w:end w:w="140" w:type="dxa"/>
            </w:tcMar>
          </w:tcPr>
          <w:p>
            <w:r>
              <w:rPr>
                <w:rFonts w:ascii="Calibri" w:hAnsi="Calibri"/>
                <w:b/>
                <w:i w:val="0"/>
                <w:color w:val="FFFFFF"/>
                <w:sz w:val="18"/>
              </w:rPr>
              <w:t>Statut</w:t>
            </w:r>
          </w:p>
        </w:tc>
        <w:tc>
          <w:tcPr>
            <w:tcW w:type="dxa" w:w="3120"/>
            <w:tcW w:w="5760" w:type="dxa"/>
            <w:shd w:fill="133A31"/>
            <w:tcBorders>
              <w:top w:val="single" w:sz="6" w:space="0" w:color="133A31"/>
              <w:left w:val="single" w:sz="6" w:space="0" w:color="133A31"/>
              <w:bottom w:val="single" w:sz="6" w:space="0" w:color="133A31"/>
              <w:right w:val="single" w:sz="6" w:space="0" w:color="133A31"/>
            </w:tcBorders>
            <w:tcMar>
              <w:top w:w="100" w:type="dxa"/>
              <w:start w:w="140" w:type="dxa"/>
              <w:bottom w:w="100" w:type="dxa"/>
              <w:end w:w="140" w:type="dxa"/>
            </w:tcMar>
          </w:tcPr>
          <w:p>
            <w:r>
              <w:rPr>
                <w:rFonts w:ascii="Calibri" w:hAnsi="Calibri"/>
                <w:b/>
                <w:i w:val="0"/>
                <w:color w:val="FFFFFF"/>
                <w:sz w:val="18"/>
              </w:rPr>
              <w:t>Résultat / observation</w:t>
            </w:r>
          </w:p>
        </w:tc>
      </w:tr>
      <w:tr>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Flotte</w:t>
            </w:r>
          </w:p>
        </w:tc>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shd w:fill="E5F0EA"/>
          </w:tcPr>
          <w:p>
            <w:r>
              <w:rPr>
                <w:rFonts w:ascii="Calibri" w:hAnsi="Calibri"/>
                <w:b/>
                <w:i w:val="0"/>
                <w:color w:val="133A31"/>
                <w:sz w:val="19"/>
              </w:rPr>
              <w:t>Terminé</w:t>
            </w:r>
          </w:p>
        </w:tc>
        <w:tc>
          <w:tcPr>
            <w:tcW w:type="dxa" w:w="576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18 véhicules intégrés avec catégorie, prix indicatif, places, bagages et transmission.</w:t>
            </w:r>
          </w:p>
        </w:tc>
      </w:tr>
      <w:tr>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Filtres</w:t>
            </w:r>
          </w:p>
        </w:tc>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shd w:fill="E5F0EA"/>
          </w:tcPr>
          <w:p>
            <w:r>
              <w:rPr>
                <w:rFonts w:ascii="Calibri" w:hAnsi="Calibri"/>
                <w:b/>
                <w:i w:val="0"/>
                <w:color w:val="133A31"/>
                <w:sz w:val="19"/>
              </w:rPr>
              <w:t>Terminé</w:t>
            </w:r>
          </w:p>
        </w:tc>
        <w:tc>
          <w:tcPr>
            <w:tcW w:type="dxa" w:w="576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Filtrage par catégorie avec interface adaptée au mobile.</w:t>
            </w:r>
          </w:p>
        </w:tc>
      </w:tr>
      <w:tr>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Fiches détail</w:t>
            </w:r>
          </w:p>
        </w:tc>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shd w:fill="E5F0EA"/>
          </w:tcPr>
          <w:p>
            <w:r>
              <w:rPr>
                <w:rFonts w:ascii="Calibri" w:hAnsi="Calibri"/>
                <w:b/>
                <w:i w:val="0"/>
                <w:color w:val="133A31"/>
                <w:sz w:val="19"/>
              </w:rPr>
              <w:t>Terminé</w:t>
            </w:r>
          </w:p>
        </w:tc>
        <w:tc>
          <w:tcPr>
            <w:tcW w:type="dxa" w:w="576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Page dédiée pour chaque véhicule avec demande de devis contextualisée.</w:t>
            </w:r>
          </w:p>
        </w:tc>
      </w:tr>
    </w:tbl>
    <w:p>
      <w:pPr>
        <w:pStyle w:val="Heading2"/>
      </w:pPr>
      <w:r>
        <w:t>2.3 Services et conversion</w:t>
      </w:r>
    </w:p>
    <w:p>
      <w:pPr>
        <w:jc w:val="left"/>
      </w:pPr>
      <w:r>
        <w:rPr>
          <w:rFonts w:ascii="Calibri" w:hAnsi="Calibri"/>
          <w:b w:val="0"/>
          <w:i w:val="0"/>
          <w:color w:val="161814"/>
          <w:sz w:val="22"/>
        </w:rPr>
        <w:t>Les trois offres principales ont été développées : location de voiture, transferts aéroport et chauffeur privé. Chaque service dispose d’un contenu explicatif, d’un formulaire de devis et de liens vers les pages associées.</w:t>
      </w:r>
    </w:p>
    <w:p>
      <w:pPr>
        <w:pStyle w:val="ListBullet"/>
        <w:spacing w:after="80" w:line="264" w:lineRule="auto"/>
      </w:pPr>
      <w:r>
        <w:rPr>
          <w:rFonts w:ascii="Calibri" w:hAnsi="Calibri"/>
          <w:b w:val="0"/>
          <w:i w:val="0"/>
          <w:color w:val="161814"/>
          <w:sz w:val="22"/>
        </w:rPr>
        <w:t>Formulaire de demande de devis connecté au parcours WhatsApp.</w:t>
      </w:r>
    </w:p>
    <w:p>
      <w:pPr>
        <w:pStyle w:val="ListBullet"/>
        <w:spacing w:after="80" w:line="264" w:lineRule="auto"/>
      </w:pPr>
      <w:r>
        <w:rPr>
          <w:rFonts w:ascii="Calibri" w:hAnsi="Calibri"/>
          <w:b w:val="0"/>
          <w:i w:val="0"/>
          <w:color w:val="161814"/>
          <w:sz w:val="22"/>
        </w:rPr>
        <w:t>Sélection du type de service, lieu de départ, date et informations complémentaires.</w:t>
      </w:r>
    </w:p>
    <w:p>
      <w:pPr>
        <w:pStyle w:val="ListBullet"/>
        <w:spacing w:after="80" w:line="264" w:lineRule="auto"/>
      </w:pPr>
      <w:r>
        <w:rPr>
          <w:rFonts w:ascii="Calibri" w:hAnsi="Calibri"/>
          <w:b w:val="0"/>
          <w:i w:val="0"/>
          <w:color w:val="161814"/>
          <w:sz w:val="22"/>
        </w:rPr>
        <w:t>CTA répétés aux endroits stratégiques sans multiplier les étapes de réservation.</w:t>
      </w:r>
    </w:p>
    <w:p>
      <w:pPr>
        <w:pStyle w:val="Heading2"/>
      </w:pPr>
      <w:r>
        <w:t>2.4 Expérience utilisateur et design</w:t>
      </w:r>
    </w:p>
    <w:p>
      <w:pPr>
        <w:jc w:val="left"/>
      </w:pPr>
      <w:r>
        <w:rPr>
          <w:rFonts w:ascii="Calibri" w:hAnsi="Calibri"/>
          <w:b w:val="0"/>
          <w:i w:val="0"/>
          <w:color w:val="161814"/>
          <w:sz w:val="22"/>
        </w:rPr>
        <w:t>Plusieurs passes d’amélioration UI ont été réalisées pour aligner l’interface avec une identité premium : typographie éditoriale, palette sombre et dorée, cartes, états actifs, espacements et hiérarchie visuelle.</w:t>
      </w:r>
    </w:p>
    <w:p>
      <w:pPr>
        <w:pStyle w:val="ListBullet"/>
        <w:spacing w:after="80" w:line="264" w:lineRule="auto"/>
      </w:pPr>
      <w:r>
        <w:rPr>
          <w:rFonts w:ascii="Calibri" w:hAnsi="Calibri"/>
          <w:b w:val="0"/>
          <w:i w:val="0"/>
          <w:color w:val="161814"/>
          <w:sz w:val="22"/>
        </w:rPr>
        <w:t>Refonte du sélecteur de langue avec menu personnalisé EN / FR.</w:t>
      </w:r>
    </w:p>
    <w:p>
      <w:pPr>
        <w:pStyle w:val="ListBullet"/>
        <w:spacing w:after="80" w:line="264" w:lineRule="auto"/>
      </w:pPr>
      <w:r>
        <w:rPr>
          <w:rFonts w:ascii="Calibri" w:hAnsi="Calibri"/>
          <w:b w:val="0"/>
          <w:i w:val="0"/>
          <w:color w:val="161814"/>
          <w:sz w:val="22"/>
        </w:rPr>
        <w:t>Amélioration des filtres de flotte et des cartes véhicules.</w:t>
      </w:r>
    </w:p>
    <w:p>
      <w:pPr>
        <w:pStyle w:val="ListBullet"/>
        <w:spacing w:after="80" w:line="264" w:lineRule="auto"/>
      </w:pPr>
      <w:r>
        <w:rPr>
          <w:rFonts w:ascii="Calibri" w:hAnsi="Calibri"/>
          <w:b w:val="0"/>
          <w:i w:val="0"/>
          <w:color w:val="161814"/>
          <w:sz w:val="22"/>
        </w:rPr>
        <w:t>Refonte des blocs de statistiques, de la section About et des blocs de demande de devis.</w:t>
      </w:r>
    </w:p>
    <w:p>
      <w:pPr>
        <w:pStyle w:val="ListBullet"/>
        <w:spacing w:after="80" w:line="264" w:lineRule="auto"/>
      </w:pPr>
      <w:r>
        <w:rPr>
          <w:rFonts w:ascii="Calibri" w:hAnsi="Calibri"/>
          <w:b w:val="0"/>
          <w:i w:val="0"/>
          <w:color w:val="161814"/>
          <w:sz w:val="22"/>
        </w:rPr>
        <w:t>Correction des espacements et fonds de la page Destinations.</w:t>
      </w:r>
    </w:p>
    <w:p>
      <w:pPr>
        <w:pStyle w:val="ListBullet"/>
        <w:spacing w:after="80" w:line="264" w:lineRule="auto"/>
      </w:pPr>
      <w:r>
        <w:rPr>
          <w:rFonts w:ascii="Calibri" w:hAnsi="Calibri"/>
          <w:b w:val="0"/>
          <w:i w:val="0"/>
          <w:color w:val="161814"/>
          <w:sz w:val="22"/>
        </w:rPr>
        <w:t>Ajustements du menu hamburger et des CTA mobiles.</w:t>
      </w:r>
    </w:p>
    <w:p>
      <w:pPr>
        <w:pStyle w:val="Heading2"/>
      </w:pPr>
      <w:r>
        <w:t>2.5 Responsive et contrôle qualité</w:t>
      </w:r>
    </w:p>
    <w:p>
      <w:pPr>
        <w:jc w:val="left"/>
      </w:pPr>
      <w:r>
        <w:rPr>
          <w:rFonts w:ascii="Calibri" w:hAnsi="Calibri"/>
          <w:b w:val="0"/>
          <w:i w:val="0"/>
          <w:color w:val="161814"/>
          <w:sz w:val="22"/>
        </w:rPr>
        <w:t>Les principaux parcours ont été vérifiés sur des largeurs desktop, tablette et mobile. Les problèmes d’overflow horizontal, de grilles trop denses, de formulaires inline et de CTA masqués ont été traités.</w:t>
      </w:r>
    </w:p>
    <w:tbl>
      <w:tblPr>
        <w:tblW w:type="auto" w:w="0"/>
        <w:jc w:val="center"/>
        <w:tblLayout w:type="fixed"/>
        <w:tblLook w:firstColumn="1" w:firstRow="1" w:lastColumn="0" w:lastRow="0" w:noHBand="0" w:noVBand="1" w:val="04A0"/>
        <w:tblW w:w="9360" w:type="dxa"/>
      </w:tblPr>
      <w:tblGrid>
        <w:gridCol w:w="1800"/>
        <w:gridCol w:w="1800"/>
        <w:gridCol w:w="5760"/>
      </w:tblGrid>
      <w:tr>
        <w:tc>
          <w:tcPr>
            <w:tcW w:type="dxa" w:w="3120"/>
            <w:tcW w:w="1800" w:type="dxa"/>
            <w:shd w:fill="133A31"/>
            <w:tcBorders>
              <w:top w:val="single" w:sz="6" w:space="0" w:color="133A31"/>
              <w:left w:val="single" w:sz="6" w:space="0" w:color="133A31"/>
              <w:bottom w:val="single" w:sz="6" w:space="0" w:color="133A31"/>
              <w:right w:val="single" w:sz="6" w:space="0" w:color="133A31"/>
            </w:tcBorders>
            <w:tcMar>
              <w:top w:w="100" w:type="dxa"/>
              <w:start w:w="140" w:type="dxa"/>
              <w:bottom w:w="100" w:type="dxa"/>
              <w:end w:w="140" w:type="dxa"/>
            </w:tcMar>
          </w:tcPr>
          <w:p>
            <w:r>
              <w:rPr>
                <w:rFonts w:ascii="Calibri" w:hAnsi="Calibri"/>
                <w:b/>
                <w:i w:val="0"/>
                <w:color w:val="FFFFFF"/>
                <w:sz w:val="18"/>
              </w:rPr>
              <w:t>Domaine</w:t>
            </w:r>
          </w:p>
        </w:tc>
        <w:tc>
          <w:tcPr>
            <w:tcW w:type="dxa" w:w="3120"/>
            <w:tcW w:w="1800" w:type="dxa"/>
            <w:shd w:fill="133A31"/>
            <w:tcBorders>
              <w:top w:val="single" w:sz="6" w:space="0" w:color="133A31"/>
              <w:left w:val="single" w:sz="6" w:space="0" w:color="133A31"/>
              <w:bottom w:val="single" w:sz="6" w:space="0" w:color="133A31"/>
              <w:right w:val="single" w:sz="6" w:space="0" w:color="133A31"/>
            </w:tcBorders>
            <w:tcMar>
              <w:top w:w="100" w:type="dxa"/>
              <w:start w:w="140" w:type="dxa"/>
              <w:bottom w:w="100" w:type="dxa"/>
              <w:end w:w="140" w:type="dxa"/>
            </w:tcMar>
          </w:tcPr>
          <w:p>
            <w:r>
              <w:rPr>
                <w:rFonts w:ascii="Calibri" w:hAnsi="Calibri"/>
                <w:b/>
                <w:i w:val="0"/>
                <w:color w:val="FFFFFF"/>
                <w:sz w:val="18"/>
              </w:rPr>
              <w:t>Statut</w:t>
            </w:r>
          </w:p>
        </w:tc>
        <w:tc>
          <w:tcPr>
            <w:tcW w:type="dxa" w:w="3120"/>
            <w:tcW w:w="5760" w:type="dxa"/>
            <w:shd w:fill="133A31"/>
            <w:tcBorders>
              <w:top w:val="single" w:sz="6" w:space="0" w:color="133A31"/>
              <w:left w:val="single" w:sz="6" w:space="0" w:color="133A31"/>
              <w:bottom w:val="single" w:sz="6" w:space="0" w:color="133A31"/>
              <w:right w:val="single" w:sz="6" w:space="0" w:color="133A31"/>
            </w:tcBorders>
            <w:tcMar>
              <w:top w:w="100" w:type="dxa"/>
              <w:start w:w="140" w:type="dxa"/>
              <w:bottom w:w="100" w:type="dxa"/>
              <w:end w:w="140" w:type="dxa"/>
            </w:tcMar>
          </w:tcPr>
          <w:p>
            <w:r>
              <w:rPr>
                <w:rFonts w:ascii="Calibri" w:hAnsi="Calibri"/>
                <w:b/>
                <w:i w:val="0"/>
                <w:color w:val="FFFFFF"/>
                <w:sz w:val="18"/>
              </w:rPr>
              <w:t>Résultat / observation</w:t>
            </w:r>
          </w:p>
        </w:tc>
      </w:tr>
      <w:tr>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Mobile</w:t>
            </w:r>
          </w:p>
        </w:tc>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shd w:fill="E5F0EA"/>
          </w:tcPr>
          <w:p>
            <w:r>
              <w:rPr>
                <w:rFonts w:ascii="Calibri" w:hAnsi="Calibri"/>
                <w:b/>
                <w:i w:val="0"/>
                <w:color w:val="133A31"/>
                <w:sz w:val="19"/>
              </w:rPr>
              <w:t>Terminé</w:t>
            </w:r>
          </w:p>
        </w:tc>
        <w:tc>
          <w:tcPr>
            <w:tcW w:type="dxa" w:w="576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Header, menu, sélecteur de langue, formulaires et CTA adaptés.</w:t>
            </w:r>
          </w:p>
        </w:tc>
      </w:tr>
      <w:tr>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Tablette</w:t>
            </w:r>
          </w:p>
        </w:tc>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shd w:fill="E5F0EA"/>
          </w:tcPr>
          <w:p>
            <w:r>
              <w:rPr>
                <w:rFonts w:ascii="Calibri" w:hAnsi="Calibri"/>
                <w:b/>
                <w:i w:val="0"/>
                <w:color w:val="133A31"/>
                <w:sz w:val="19"/>
              </w:rPr>
              <w:t>Terminé</w:t>
            </w:r>
          </w:p>
        </w:tc>
        <w:tc>
          <w:tcPr>
            <w:tcW w:type="dxa" w:w="576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Grilles destinations, journal, flotte et sections de contenu rééquilibrées.</w:t>
            </w:r>
          </w:p>
        </w:tc>
      </w:tr>
      <w:tr>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Vérification</w:t>
            </w:r>
          </w:p>
        </w:tc>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shd w:fill="E5F0EA"/>
          </w:tcPr>
          <w:p>
            <w:r>
              <w:rPr>
                <w:rFonts w:ascii="Calibri" w:hAnsi="Calibri"/>
                <w:b/>
                <w:i w:val="0"/>
                <w:color w:val="133A31"/>
                <w:sz w:val="19"/>
              </w:rPr>
              <w:t>Terminé</w:t>
            </w:r>
          </w:p>
        </w:tc>
        <w:tc>
          <w:tcPr>
            <w:tcW w:type="dxa" w:w="576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Routes clés contrôlées sans débordement horizontal.</w:t>
            </w:r>
          </w:p>
        </w:tc>
      </w:tr>
    </w:tbl>
    <w:p>
      <w:pPr>
        <w:pStyle w:val="Heading1"/>
      </w:pPr>
      <w:r>
        <w:t>3. SEO et visibilité</w:t>
      </w:r>
    </w:p>
    <w:p>
      <w:pPr>
        <w:jc w:val="left"/>
      </w:pPr>
      <w:r>
        <w:rPr>
          <w:rFonts w:ascii="Calibri" w:hAnsi="Calibri"/>
          <w:b w:val="0"/>
          <w:i w:val="0"/>
          <w:color w:val="161814"/>
          <w:sz w:val="22"/>
        </w:rPr>
        <w:t>Une fondation SEO dynamique a été intégrée directement dans l’application. Les métadonnées sont générées selon la langue et la route consultée.</w:t>
      </w:r>
    </w:p>
    <w:p>
      <w:pPr>
        <w:pStyle w:val="ListBullet"/>
        <w:spacing w:after="80" w:line="264" w:lineRule="auto"/>
      </w:pPr>
      <w:r>
        <w:rPr>
          <w:rFonts w:ascii="Calibri" w:hAnsi="Calibri"/>
          <w:b w:val="0"/>
          <w:i w:val="0"/>
          <w:color w:val="161814"/>
          <w:sz w:val="22"/>
        </w:rPr>
        <w:t>Titres et descriptions dynamiques pour les pages principales, services, destinations, articles et véhicules.</w:t>
      </w:r>
    </w:p>
    <w:p>
      <w:pPr>
        <w:pStyle w:val="ListBullet"/>
        <w:spacing w:after="80" w:line="264" w:lineRule="auto"/>
      </w:pPr>
      <w:r>
        <w:rPr>
          <w:rFonts w:ascii="Calibri" w:hAnsi="Calibri"/>
          <w:b w:val="0"/>
          <w:i w:val="0"/>
          <w:color w:val="161814"/>
          <w:sz w:val="22"/>
        </w:rPr>
        <w:t>URL canoniques, Open Graph, Twitter Card et liens hreflang anglais/français.</w:t>
      </w:r>
    </w:p>
    <w:p>
      <w:pPr>
        <w:pStyle w:val="ListBullet"/>
        <w:spacing w:after="80" w:line="264" w:lineRule="auto"/>
      </w:pPr>
      <w:r>
        <w:rPr>
          <w:rFonts w:ascii="Calibri" w:hAnsi="Calibri"/>
          <w:b w:val="0"/>
          <w:i w:val="0"/>
          <w:color w:val="161814"/>
          <w:sz w:val="22"/>
        </w:rPr>
        <w:t>Données structurées LocalBusiness / AutoRental, Service, FAQ, Breadcrumb et Vehicle / Product.</w:t>
      </w:r>
    </w:p>
    <w:p>
      <w:pPr>
        <w:pStyle w:val="ListBullet"/>
        <w:spacing w:after="80" w:line="264" w:lineRule="auto"/>
      </w:pPr>
      <w:r>
        <w:rPr>
          <w:rFonts w:ascii="Calibri" w:hAnsi="Calibri"/>
          <w:b w:val="0"/>
          <w:i w:val="0"/>
          <w:color w:val="161814"/>
          <w:sz w:val="22"/>
        </w:rPr>
        <w:t>Sitemap XML et robots.txt présents.</w:t>
      </w:r>
    </w:p>
    <w:p>
      <w:pPr>
        <w:pStyle w:val="ListBullet"/>
        <w:spacing w:after="80" w:line="264" w:lineRule="auto"/>
      </w:pPr>
      <w:r>
        <w:rPr>
          <w:rFonts w:ascii="Calibri" w:hAnsi="Calibri"/>
          <w:b w:val="0"/>
          <w:i w:val="0"/>
          <w:color w:val="161814"/>
          <w:sz w:val="22"/>
        </w:rPr>
        <w:t>Pages éditoriales sur la location, l’aéroport, la conduite, les documents et la location longue durée.</w:t>
      </w:r>
    </w:p>
    <w:tbl>
      <w:tblPr>
        <w:tblW w:type="auto" w:w="0"/>
        <w:jc w:val="center"/>
        <w:tblLayout w:type="fixed"/>
        <w:tblLook w:firstColumn="1" w:firstRow="1" w:lastColumn="0" w:lastRow="0" w:noHBand="0" w:noVBand="1" w:val="04A0"/>
        <w:tblW w:w="9360" w:type="dxa"/>
      </w:tblPr>
      <w:tblGrid>
        <w:gridCol w:w="9360"/>
      </w:tblGrid>
      <w:tr>
        <w:tc>
          <w:tcPr>
            <w:tcW w:type="dxa" w:w="9360"/>
            <w:tcW w:w="9360" w:type="dxa"/>
            <w:shd w:fill="F1F1EB"/>
            <w:tcBorders>
              <w:top w:val="single" w:sz="6" w:space="0" w:color="D7D8D1"/>
              <w:left w:val="single" w:sz="6" w:space="0" w:color="D7D8D1"/>
              <w:bottom w:val="single" w:sz="6" w:space="0" w:color="D7D8D1"/>
              <w:right w:val="single" w:sz="6" w:space="0" w:color="D7D8D1"/>
            </w:tcBorders>
            <w:tcMar>
              <w:top w:w="150" w:type="dxa"/>
              <w:start w:w="180" w:type="dxa"/>
              <w:bottom w:w="150" w:type="dxa"/>
              <w:end w:w="180" w:type="dxa"/>
            </w:tcMar>
          </w:tcPr>
          <w:p>
            <w:r>
              <w:rPr>
                <w:rFonts w:ascii="Calibri" w:hAnsi="Calibri"/>
                <w:b/>
                <w:i w:val="0"/>
                <w:color w:val="B48A46"/>
                <w:sz w:val="18"/>
              </w:rPr>
              <w:t>POINT À FINALISER</w:t>
            </w:r>
          </w:p>
          <w:p>
            <w:pPr>
              <w:spacing w:after="0"/>
            </w:pPr>
            <w:r>
              <w:rPr>
                <w:rFonts w:ascii="Calibri" w:hAnsi="Calibri"/>
                <w:b w:val="0"/>
                <w:i w:val="0"/>
                <w:color w:val="161814"/>
                <w:sz w:val="21"/>
              </w:rPr>
              <w:t>Le fichier de mots-clés annoncé n’était pas présent dans l’espace de travail au moment de l’audit. La stratégie de mots-clés, le mapping page par page et les recommandations de contenu restent à compléter dès réception du fichier.</w:t>
            </w:r>
          </w:p>
        </w:tc>
      </w:tr>
    </w:tbl>
    <w:p>
      <w:pPr>
        <w:pStyle w:val="Heading1"/>
      </w:pPr>
      <w:r>
        <w:t>4. Résultats atteints</w:t>
      </w:r>
    </w:p>
    <w:tbl>
      <w:tblPr>
        <w:tblW w:type="auto" w:w="0"/>
        <w:jc w:val="center"/>
        <w:tblLayout w:type="fixed"/>
        <w:tblLook w:firstColumn="1" w:firstRow="1" w:lastColumn="0" w:lastRow="0" w:noHBand="0" w:noVBand="1" w:val="04A0"/>
        <w:tblW w:w="9360" w:type="dxa"/>
      </w:tblPr>
      <w:tblGrid>
        <w:gridCol w:w="1800"/>
        <w:gridCol w:w="1800"/>
        <w:gridCol w:w="5760"/>
      </w:tblGrid>
      <w:tr>
        <w:tc>
          <w:tcPr>
            <w:tcW w:type="dxa" w:w="3120"/>
            <w:tcW w:w="1800" w:type="dxa"/>
            <w:shd w:fill="133A31"/>
            <w:tcBorders>
              <w:top w:val="single" w:sz="6" w:space="0" w:color="133A31"/>
              <w:left w:val="single" w:sz="6" w:space="0" w:color="133A31"/>
              <w:bottom w:val="single" w:sz="6" w:space="0" w:color="133A31"/>
              <w:right w:val="single" w:sz="6" w:space="0" w:color="133A31"/>
            </w:tcBorders>
            <w:tcMar>
              <w:top w:w="100" w:type="dxa"/>
              <w:start w:w="140" w:type="dxa"/>
              <w:bottom w:w="100" w:type="dxa"/>
              <w:end w:w="140" w:type="dxa"/>
            </w:tcMar>
          </w:tcPr>
          <w:p>
            <w:r>
              <w:rPr>
                <w:rFonts w:ascii="Calibri" w:hAnsi="Calibri"/>
                <w:b/>
                <w:i w:val="0"/>
                <w:color w:val="FFFFFF"/>
                <w:sz w:val="18"/>
              </w:rPr>
              <w:t>Domaine</w:t>
            </w:r>
          </w:p>
        </w:tc>
        <w:tc>
          <w:tcPr>
            <w:tcW w:type="dxa" w:w="3120"/>
            <w:tcW w:w="1800" w:type="dxa"/>
            <w:shd w:fill="133A31"/>
            <w:tcBorders>
              <w:top w:val="single" w:sz="6" w:space="0" w:color="133A31"/>
              <w:left w:val="single" w:sz="6" w:space="0" w:color="133A31"/>
              <w:bottom w:val="single" w:sz="6" w:space="0" w:color="133A31"/>
              <w:right w:val="single" w:sz="6" w:space="0" w:color="133A31"/>
            </w:tcBorders>
            <w:tcMar>
              <w:top w:w="100" w:type="dxa"/>
              <w:start w:w="140" w:type="dxa"/>
              <w:bottom w:w="100" w:type="dxa"/>
              <w:end w:w="140" w:type="dxa"/>
            </w:tcMar>
          </w:tcPr>
          <w:p>
            <w:r>
              <w:rPr>
                <w:rFonts w:ascii="Calibri" w:hAnsi="Calibri"/>
                <w:b/>
                <w:i w:val="0"/>
                <w:color w:val="FFFFFF"/>
                <w:sz w:val="18"/>
              </w:rPr>
              <w:t>Statut</w:t>
            </w:r>
          </w:p>
        </w:tc>
        <w:tc>
          <w:tcPr>
            <w:tcW w:type="dxa" w:w="3120"/>
            <w:tcW w:w="5760" w:type="dxa"/>
            <w:shd w:fill="133A31"/>
            <w:tcBorders>
              <w:top w:val="single" w:sz="6" w:space="0" w:color="133A31"/>
              <w:left w:val="single" w:sz="6" w:space="0" w:color="133A31"/>
              <w:bottom w:val="single" w:sz="6" w:space="0" w:color="133A31"/>
              <w:right w:val="single" w:sz="6" w:space="0" w:color="133A31"/>
            </w:tcBorders>
            <w:tcMar>
              <w:top w:w="100" w:type="dxa"/>
              <w:start w:w="140" w:type="dxa"/>
              <w:bottom w:w="100" w:type="dxa"/>
              <w:end w:w="140" w:type="dxa"/>
            </w:tcMar>
          </w:tcPr>
          <w:p>
            <w:r>
              <w:rPr>
                <w:rFonts w:ascii="Calibri" w:hAnsi="Calibri"/>
                <w:b/>
                <w:i w:val="0"/>
                <w:color w:val="FFFFFF"/>
                <w:sz w:val="18"/>
              </w:rPr>
              <w:t>Résultat / observation</w:t>
            </w:r>
          </w:p>
        </w:tc>
      </w:tr>
      <w:tr>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Plateforme bilingue</w:t>
            </w:r>
          </w:p>
        </w:tc>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shd w:fill="E5F0EA"/>
          </w:tcPr>
          <w:p>
            <w:r>
              <w:rPr>
                <w:rFonts w:ascii="Calibri" w:hAnsi="Calibri"/>
                <w:b/>
                <w:i w:val="0"/>
                <w:color w:val="133A31"/>
                <w:sz w:val="19"/>
              </w:rPr>
              <w:t>Terminé</w:t>
            </w:r>
          </w:p>
        </w:tc>
        <w:tc>
          <w:tcPr>
            <w:tcW w:type="dxa" w:w="576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Parcours EN / FR avec contenus, navigation et métadonnées localisés.</w:t>
            </w:r>
          </w:p>
        </w:tc>
      </w:tr>
      <w:tr>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Catalogue véhicules</w:t>
            </w:r>
          </w:p>
        </w:tc>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shd w:fill="E5F0EA"/>
          </w:tcPr>
          <w:p>
            <w:r>
              <w:rPr>
                <w:rFonts w:ascii="Calibri" w:hAnsi="Calibri"/>
                <w:b/>
                <w:i w:val="0"/>
                <w:color w:val="133A31"/>
                <w:sz w:val="19"/>
              </w:rPr>
              <w:t>Terminé</w:t>
            </w:r>
          </w:p>
        </w:tc>
        <w:tc>
          <w:tcPr>
            <w:tcW w:type="dxa" w:w="576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18 véhicules visibles et filtrables.</w:t>
            </w:r>
          </w:p>
        </w:tc>
      </w:tr>
      <w:tr>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Pages de conversion</w:t>
            </w:r>
          </w:p>
        </w:tc>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shd w:fill="E5F0EA"/>
          </w:tcPr>
          <w:p>
            <w:r>
              <w:rPr>
                <w:rFonts w:ascii="Calibri" w:hAnsi="Calibri"/>
                <w:b/>
                <w:i w:val="0"/>
                <w:color w:val="133A31"/>
                <w:sz w:val="19"/>
              </w:rPr>
              <w:t>Terminé</w:t>
            </w:r>
          </w:p>
        </w:tc>
        <w:tc>
          <w:tcPr>
            <w:tcW w:type="dxa" w:w="576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Services, booking, fiches véhicules et CTA WhatsApp.</w:t>
            </w:r>
          </w:p>
        </w:tc>
      </w:tr>
      <w:tr>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Pages locales</w:t>
            </w:r>
          </w:p>
        </w:tc>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shd w:fill="E5F0EA"/>
          </w:tcPr>
          <w:p>
            <w:r>
              <w:rPr>
                <w:rFonts w:ascii="Calibri" w:hAnsi="Calibri"/>
                <w:b/>
                <w:i w:val="0"/>
                <w:color w:val="133A31"/>
                <w:sz w:val="19"/>
              </w:rPr>
              <w:t>Terminé</w:t>
            </w:r>
          </w:p>
        </w:tc>
        <w:tc>
          <w:tcPr>
            <w:tcW w:type="dxa" w:w="576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Destinations, location, transferts et chauffeur par zone.</w:t>
            </w:r>
          </w:p>
        </w:tc>
      </w:tr>
      <w:tr>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Base SEO</w:t>
            </w:r>
          </w:p>
        </w:tc>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shd w:fill="E5F0EA"/>
          </w:tcPr>
          <w:p>
            <w:r>
              <w:rPr>
                <w:rFonts w:ascii="Calibri" w:hAnsi="Calibri"/>
                <w:b/>
                <w:i w:val="0"/>
                <w:color w:val="133A31"/>
                <w:sz w:val="19"/>
              </w:rPr>
              <w:t>Terminé</w:t>
            </w:r>
          </w:p>
        </w:tc>
        <w:tc>
          <w:tcPr>
            <w:tcW w:type="dxa" w:w="576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Métadonnées, schema, sitemap et robots intégrés.</w:t>
            </w:r>
          </w:p>
        </w:tc>
      </w:tr>
      <w:tr>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Mots-clés</w:t>
            </w:r>
          </w:p>
        </w:tc>
        <w:tc>
          <w:tcPr>
            <w:tcW w:type="dxa" w:w="180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shd w:fill="FFF3D6"/>
          </w:tcPr>
          <w:p>
            <w:r>
              <w:rPr>
                <w:rFonts w:ascii="Calibri" w:hAnsi="Calibri"/>
                <w:b/>
                <w:i w:val="0"/>
                <w:color w:val="161814"/>
                <w:sz w:val="19"/>
              </w:rPr>
              <w:t>À recevoir</w:t>
            </w:r>
          </w:p>
        </w:tc>
        <w:tc>
          <w:tcPr>
            <w:tcW w:type="dxa" w:w="5760"/>
            <w:tcBorders>
              <w:top w:val="single" w:sz="6" w:space="0" w:color="DCDCD4"/>
              <w:left w:val="single" w:sz="6" w:space="0" w:color="DCDCD4"/>
              <w:bottom w:val="single" w:sz="6" w:space="0" w:color="DCDCD4"/>
              <w:right w:val="single" w:sz="6" w:space="0" w:color="DCDCD4"/>
            </w:tcBorders>
            <w:tcMar>
              <w:top w:w="100" w:type="dxa"/>
              <w:start w:w="140" w:type="dxa"/>
              <w:bottom w:w="100" w:type="dxa"/>
              <w:end w:w="140" w:type="dxa"/>
            </w:tcMar>
          </w:tcPr>
          <w:p>
            <w:r>
              <w:rPr>
                <w:rFonts w:ascii="Calibri" w:hAnsi="Calibri"/>
                <w:b w:val="0"/>
                <w:i w:val="0"/>
                <w:color w:val="161814"/>
                <w:sz w:val="19"/>
              </w:rPr>
              <w:t>Analyse détaillée en attente du fichier client.</w:t>
            </w:r>
          </w:p>
        </w:tc>
      </w:tr>
    </w:tbl>
    <w:p>
      <w:pPr>
        <w:pStyle w:val="Heading1"/>
      </w:pPr>
      <w:r>
        <w:t>5. Points de vigilance</w:t>
      </w:r>
    </w:p>
    <w:p>
      <w:pPr>
        <w:pStyle w:val="ListBullet"/>
        <w:spacing w:after="80" w:line="264" w:lineRule="auto"/>
      </w:pPr>
      <w:r>
        <w:rPr>
          <w:rFonts w:ascii="Calibri" w:hAnsi="Calibri"/>
          <w:b w:val="0"/>
          <w:i w:val="0"/>
          <w:color w:val="161814"/>
          <w:sz w:val="22"/>
        </w:rPr>
        <w:t>Le sitemap et le script de pré-rendu doivent être synchronisés avec les cinq véhicules ajoutés récemment.</w:t>
      </w:r>
    </w:p>
    <w:p>
      <w:pPr>
        <w:pStyle w:val="ListBullet"/>
        <w:spacing w:after="80" w:line="264" w:lineRule="auto"/>
      </w:pPr>
      <w:r>
        <w:rPr>
          <w:rFonts w:ascii="Calibri" w:hAnsi="Calibri"/>
          <w:b w:val="0"/>
          <w:i w:val="0"/>
          <w:color w:val="161814"/>
          <w:sz w:val="22"/>
        </w:rPr>
        <w:t>Le pré-rendu complet dépend du lancement de Chromium via Playwright ; le build client Vite est valide, mais le pré-rendu local a rencontré une restriction de permission dans l’environnement de travail.</w:t>
      </w:r>
    </w:p>
    <w:p>
      <w:pPr>
        <w:pStyle w:val="ListBullet"/>
        <w:spacing w:after="80" w:line="264" w:lineRule="auto"/>
      </w:pPr>
      <w:r>
        <w:rPr>
          <w:rFonts w:ascii="Calibri" w:hAnsi="Calibri"/>
          <w:b w:val="0"/>
          <w:i w:val="0"/>
          <w:color w:val="161814"/>
          <w:sz w:val="22"/>
        </w:rPr>
        <w:t>Les images sont actuellement servies depuis le domaine VIPCAR ; une stratégie d’assets optimisés et de fallback peut encore améliorer la robustesse et les performances.</w:t>
      </w:r>
    </w:p>
    <w:p>
      <w:pPr>
        <w:pStyle w:val="ListBullet"/>
        <w:spacing w:after="80" w:line="264" w:lineRule="auto"/>
      </w:pPr>
      <w:r>
        <w:rPr>
          <w:rFonts w:ascii="Calibri" w:hAnsi="Calibri"/>
          <w:b w:val="0"/>
          <w:i w:val="0"/>
          <w:color w:val="161814"/>
          <w:sz w:val="22"/>
        </w:rPr>
        <w:t>La validation finale des données structurées et des balises SEO doit être réalisée sur l’environnement de production.</w:t>
      </w:r>
    </w:p>
    <w:p>
      <w:pPr>
        <w:pStyle w:val="Heading1"/>
      </w:pPr>
      <w:r>
        <w:t>6. Prochaine phase recommandée</w:t>
      </w:r>
    </w:p>
    <w:p>
      <w:pPr>
        <w:pStyle w:val="ListBullet"/>
        <w:spacing w:after="80" w:line="264" w:lineRule="auto"/>
      </w:pPr>
      <w:r>
        <w:rPr>
          <w:rFonts w:ascii="Calibri" w:hAnsi="Calibri"/>
          <w:b w:val="0"/>
          <w:i w:val="0"/>
          <w:color w:val="161814"/>
          <w:sz w:val="22"/>
        </w:rPr>
        <w:t>Intégrer le fichier de mots-clés et réaliser le mapping intention → page.</w:t>
      </w:r>
    </w:p>
    <w:p>
      <w:pPr>
        <w:pStyle w:val="ListBullet"/>
        <w:spacing w:after="80" w:line="264" w:lineRule="auto"/>
      </w:pPr>
      <w:r>
        <w:rPr>
          <w:rFonts w:ascii="Calibri" w:hAnsi="Calibri"/>
          <w:b w:val="0"/>
          <w:i w:val="0"/>
          <w:color w:val="161814"/>
          <w:sz w:val="22"/>
        </w:rPr>
        <w:t>Mettre à jour sitemap.xml et le script de pré-rendu pour les 18 véhicules.</w:t>
      </w:r>
    </w:p>
    <w:p>
      <w:pPr>
        <w:pStyle w:val="ListBullet"/>
        <w:spacing w:after="80" w:line="264" w:lineRule="auto"/>
      </w:pPr>
      <w:r>
        <w:rPr>
          <w:rFonts w:ascii="Calibri" w:hAnsi="Calibri"/>
          <w:b w:val="0"/>
          <w:i w:val="0"/>
          <w:color w:val="161814"/>
          <w:sz w:val="22"/>
        </w:rPr>
        <w:t>Finaliser les titres, H1, descriptions et liens internes selon les priorités SEO.</w:t>
      </w:r>
    </w:p>
    <w:p>
      <w:pPr>
        <w:pStyle w:val="ListBullet"/>
        <w:spacing w:after="80" w:line="264" w:lineRule="auto"/>
      </w:pPr>
      <w:r>
        <w:rPr>
          <w:rFonts w:ascii="Calibri" w:hAnsi="Calibri"/>
          <w:b w:val="0"/>
          <w:i w:val="0"/>
          <w:color w:val="161814"/>
          <w:sz w:val="22"/>
        </w:rPr>
        <w:t>Optimiser les images, les performances et les Core Web Vitals.</w:t>
      </w:r>
    </w:p>
    <w:p>
      <w:pPr>
        <w:pStyle w:val="ListBullet"/>
        <w:spacing w:after="80" w:line="264" w:lineRule="auto"/>
      </w:pPr>
      <w:r>
        <w:rPr>
          <w:rFonts w:ascii="Calibri" w:hAnsi="Calibri"/>
          <w:b w:val="0"/>
          <w:i w:val="0"/>
          <w:color w:val="161814"/>
          <w:sz w:val="22"/>
        </w:rPr>
        <w:t>Effectuer une recette client finale sur les parcours réservation, WhatsApp, langue et mobile.</w:t>
      </w:r>
    </w:p>
    <w:p>
      <w:pPr>
        <w:pStyle w:val="ListBullet"/>
        <w:spacing w:after="80" w:line="264" w:lineRule="auto"/>
      </w:pPr>
      <w:r>
        <w:rPr>
          <w:rFonts w:ascii="Calibri" w:hAnsi="Calibri"/>
          <w:b w:val="0"/>
          <w:i w:val="0"/>
          <w:color w:val="161814"/>
          <w:sz w:val="22"/>
        </w:rPr>
        <w:t>Préparer le déploiement et le suivi analytics de production.</w:t>
      </w:r>
    </w:p>
    <w:tbl>
      <w:tblPr>
        <w:tblW w:type="auto" w:w="0"/>
        <w:jc w:val="center"/>
        <w:tblLayout w:type="fixed"/>
        <w:tblLook w:firstColumn="1" w:firstRow="1" w:lastColumn="0" w:lastRow="0" w:noHBand="0" w:noVBand="1" w:val="04A0"/>
        <w:tblW w:w="9360" w:type="dxa"/>
      </w:tblPr>
      <w:tblGrid>
        <w:gridCol w:w="9360"/>
      </w:tblGrid>
      <w:tr>
        <w:tc>
          <w:tcPr>
            <w:tcW w:type="dxa" w:w="9360"/>
            <w:tcW w:w="9360" w:type="dxa"/>
            <w:shd w:fill="F1F1EB"/>
            <w:tcBorders>
              <w:top w:val="single" w:sz="6" w:space="0" w:color="D7D8D1"/>
              <w:left w:val="single" w:sz="6" w:space="0" w:color="D7D8D1"/>
              <w:bottom w:val="single" w:sz="6" w:space="0" w:color="D7D8D1"/>
              <w:right w:val="single" w:sz="6" w:space="0" w:color="D7D8D1"/>
            </w:tcBorders>
            <w:tcMar>
              <w:top w:w="150" w:type="dxa"/>
              <w:start w:w="180" w:type="dxa"/>
              <w:bottom w:w="150" w:type="dxa"/>
              <w:end w:w="180" w:type="dxa"/>
            </w:tcMar>
          </w:tcPr>
          <w:p>
            <w:r>
              <w:rPr>
                <w:rFonts w:ascii="Calibri" w:hAnsi="Calibri"/>
                <w:b/>
                <w:i w:val="0"/>
                <w:color w:val="B48A46"/>
                <w:sz w:val="18"/>
              </w:rPr>
              <w:t>CONCLUSION</w:t>
            </w:r>
          </w:p>
          <w:p>
            <w:pPr>
              <w:spacing w:after="0"/>
            </w:pPr>
            <w:r>
              <w:rPr>
                <w:rFonts w:ascii="Calibri" w:hAnsi="Calibri"/>
                <w:b w:val="0"/>
                <w:i w:val="0"/>
                <w:color w:val="161814"/>
                <w:sz w:val="21"/>
              </w:rPr>
              <w:t>La phase a atteint son objectif de construction et de mise en qualité de la plateforme VIPCAR. Le site dispose maintenant d’une base fonctionnelle, bilingue, responsive et orientée conversion. La prochaine étape consiste à aligner cette base avec les mots-clés prioritaires et à finaliser la préparation production.</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D7068"/>
        <w:sz w:val="18"/>
      </w:rPr>
      <w:t xml:space="preserve">Document client  •  Août 2026  •  Page </w:t>
    </w:r>
    <w:r>
      <w:rPr>
        <w:rFonts w:ascii="Calibri" w:hAnsi="Calibri"/>
        <w:b w:val="0"/>
        <w:i w:val="0"/>
        <w:color w:val="6D70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6D7068"/>
        <w:sz w:val="17"/>
      </w:rPr>
      <w:t>VIPCAR TUNISIA  /  RAPPORT DE PHASE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618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33A3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33A3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18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Calibri" w:hAnsi="Calibri"/>
      <w:b/>
      <w:color w:val="B48A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phase - Projet VIPCAR Tunisia</dc:title>
  <dc:subject>Bilan des travaux réalisés et niveau d’avancement</dc:subject>
  <dc:creator>VIPCAR Tunisia</dc:creator>
  <cp:keywords/>
  <dc:description>generated by python-docx</dc:description>
  <cp:lastModifiedBy/>
  <cp:revision>1</cp:revision>
  <dcterms:created xsi:type="dcterms:W3CDTF">2013-12-23T23:15:00Z</dcterms:created>
  <dcterms:modified xsi:type="dcterms:W3CDTF">2013-12-23T23:15:00Z</dcterms:modified>
  <cp:category/>
</cp:coreProperties>
</file>