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440" w:line="240" w:lineRule="auto"/>
        <w:jc w:val="center"/>
      </w:pPr>
      <w:r>
        <w:drawing>
          <wp:inline xmlns:a="http://schemas.openxmlformats.org/drawingml/2006/main" xmlns:pic="http://schemas.openxmlformats.org/drawingml/2006/picture">
            <wp:extent cx="3200400" cy="720090"/>
            <wp:docPr id="1" name="Picture 1"/>
            <wp:cNvGraphicFramePr>
              <a:graphicFrameLocks noChangeAspect="1"/>
            </wp:cNvGraphicFramePr>
            <a:graphic>
              <a:graphicData uri="http://schemas.openxmlformats.org/drawingml/2006/picture">
                <pic:pic>
                  <pic:nvPicPr>
                    <pic:cNvPr id="0" name="vipcar-logo-primary.png"/>
                    <pic:cNvPicPr/>
                  </pic:nvPicPr>
                  <pic:blipFill>
                    <a:blip r:embed="rId11"/>
                    <a:stretch>
                      <a:fillRect/>
                    </a:stretch>
                  </pic:blipFill>
                  <pic:spPr>
                    <a:xfrm>
                      <a:off x="0" y="0"/>
                      <a:ext cx="3200400" cy="720090"/>
                    </a:xfrm>
                    <a:prstGeom prst="rect"/>
                  </pic:spPr>
                </pic:pic>
              </a:graphicData>
            </a:graphic>
          </wp:inline>
        </w:drawing>
      </w:r>
    </w:p>
    <w:p>
      <w:pPr>
        <w:pStyle w:val="Title"/>
        <w:spacing w:before="0" w:after="160" w:line="240" w:lineRule="auto"/>
        <w:jc w:val="center"/>
      </w:pPr>
      <w:r>
        <w:rPr>
          <w:rFonts w:ascii="Georgia" w:hAnsi="Georgia"/>
          <w:b w:val="0"/>
          <w:i w:val="0"/>
          <w:color w:val="000000"/>
          <w:sz w:val="56"/>
        </w:rPr>
        <w:t>Rapport d avancement et charte graphique</w:t>
      </w:r>
    </w:p>
    <w:p>
      <w:pPr>
        <w:spacing w:before="0" w:after="360" w:line="264" w:lineRule="auto"/>
        <w:jc w:val="center"/>
      </w:pPr>
      <w:r>
        <w:rPr>
          <w:rFonts w:ascii="Aptos" w:hAnsi="Aptos"/>
          <w:b w:val="0"/>
          <w:i w:val="0"/>
          <w:color w:val="6D7068"/>
          <w:sz w:val="24"/>
        </w:rPr>
        <w:t>Projet de plateforme de mobilité et de location de voitures en Tunisie</w:t>
      </w:r>
    </w:p>
    <w:p>
      <w:pPr>
        <w:spacing w:before="0" w:after="0" w:line="288" w:lineRule="auto"/>
        <w:jc w:val="center"/>
      </w:pPr>
      <w:r>
        <w:rPr>
          <w:rFonts w:ascii="Aptos" w:hAnsi="Aptos"/>
          <w:b/>
          <w:i w:val="0"/>
          <w:color w:val="101C19"/>
          <w:sz w:val="20"/>
        </w:rPr>
        <w:t>Document de suivi client</w:t>
        <w:br/>
        <w:t>07 septembre 2026</w:t>
      </w:r>
    </w:p>
    <w:p>
      <w:r>
        <w:br w:type="page"/>
      </w:r>
    </w:p>
    <w:p>
      <w:pPr>
        <w:spacing w:before="80" w:after="100" w:line="240" w:lineRule="auto"/>
      </w:pPr>
      <w:r>
        <w:rPr>
          <w:rFonts w:ascii="Aptos" w:hAnsi="Aptos"/>
          <w:b/>
          <w:i w:val="0"/>
          <w:color w:val="DF432B"/>
          <w:sz w:val="16"/>
        </w:rPr>
        <w:t>SYNTHÈSE</w:t>
      </w:r>
    </w:p>
    <w:p>
      <w:pPr>
        <w:pStyle w:val="Heading1"/>
        <w:keepNext/>
        <w:spacing w:before="80" w:after="200" w:line="245" w:lineRule="auto"/>
      </w:pPr>
      <w:r>
        <w:rPr>
          <w:rFonts w:ascii="Georgia" w:hAnsi="Georgia"/>
          <w:b w:val="0"/>
          <w:i w:val="0"/>
          <w:color w:val="000000"/>
          <w:sz w:val="48"/>
        </w:rPr>
        <w:t>Une plateforme fonctionnelle et une identité en finalisation</w:t>
      </w:r>
    </w:p>
    <w:p>
      <w:pPr>
        <w:spacing w:before="0" w:after="160" w:line="283" w:lineRule="auto"/>
      </w:pPr>
      <w:r>
        <w:rPr>
          <w:rFonts w:ascii="Aptos" w:hAnsi="Aptos"/>
          <w:b w:val="0"/>
          <w:i w:val="0"/>
          <w:color w:val="161814"/>
          <w:sz w:val="21"/>
        </w:rPr>
        <w:t>Le projet VIPCAR dispose désormais d une base technique complète, d un site public bilingue, d un parcours de demande connecté au backend et d un backoffice staff accessible sur la même application. La prochaine étape consiste à finaliser l espace comptes clients, à renforcer la vue opérationnelle des réservations et à valider définitivement la nouvelle identité visuelle.</w:t>
      </w:r>
    </w:p>
    <w:tbl>
      <w:tblPr>
        <w:tblStyle w:val="TableGrid"/>
        <w:tblW w:type="auto" w:w="0"/>
        <w:jc w:val="center"/>
        <w:tblLayout w:type="fixed"/>
        <w:tblLook w:firstColumn="1" w:firstRow="1" w:lastColumn="0" w:lastRow="0" w:noHBand="0" w:noVBand="1" w:val="04A0"/>
      </w:tblPr>
      <w:tblGrid>
        <w:gridCol w:w="5083"/>
        <w:gridCol w:w="5083"/>
      </w:tblGrid>
      <w:tr>
        <w:tc>
          <w:tcPr>
            <w:tcW w:type="dxa" w:w="5040"/>
            <w:shd w:fill="E8F0EC"/>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r>
            <w:r>
              <w:rPr>
                <w:rFonts w:ascii="Aptos" w:hAnsi="Aptos"/>
                <w:b w:val="0"/>
                <w:i w:val="0"/>
                <w:color w:val="161814"/>
                <w:sz w:val="18"/>
              </w:rPr>
              <w:t>09 / 10</w:t>
            </w:r>
          </w:p>
          <w:p>
            <w:pPr>
              <w:spacing w:before="0" w:after="40" w:line="252" w:lineRule="auto"/>
            </w:pPr>
            <w:r>
              <w:rPr>
                <w:rFonts w:ascii="Aptos" w:hAnsi="Aptos"/>
                <w:b w:val="0"/>
                <w:i w:val="0"/>
                <w:color w:val="161814"/>
                <w:sz w:val="18"/>
              </w:rPr>
              <w:t>chantiers de phase finalisés</w:t>
            </w:r>
          </w:p>
        </w:tc>
        <w:tc>
          <w:tcPr>
            <w:tcW w:type="dxa" w:w="5040"/>
            <w:shd w:fill="F4EEE3"/>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r>
            <w:r>
              <w:rPr>
                <w:rFonts w:ascii="Aptos" w:hAnsi="Aptos"/>
                <w:b w:val="0"/>
                <w:i w:val="0"/>
                <w:color w:val="161814"/>
                <w:sz w:val="18"/>
              </w:rPr>
              <w:t>18</w:t>
            </w:r>
          </w:p>
          <w:p>
            <w:pPr>
              <w:spacing w:before="0" w:after="40" w:line="252" w:lineRule="auto"/>
            </w:pPr>
            <w:r>
              <w:rPr>
                <w:rFonts w:ascii="Aptos" w:hAnsi="Aptos"/>
                <w:b w:val="0"/>
                <w:i w:val="0"/>
                <w:color w:val="161814"/>
                <w:sz w:val="18"/>
              </w:rPr>
              <w:t>véhicules intégrés au catalogue</w:t>
            </w:r>
          </w:p>
        </w:tc>
      </w:tr>
      <w:tr>
        <w:tc>
          <w:tcPr>
            <w:tcW w:type="dxa" w:w="5040"/>
            <w:shd w:fill="E8F0EC"/>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r>
            <w:r>
              <w:rPr>
                <w:rFonts w:ascii="Aptos" w:hAnsi="Aptos"/>
                <w:b w:val="0"/>
                <w:i w:val="0"/>
                <w:color w:val="161814"/>
                <w:sz w:val="18"/>
              </w:rPr>
              <w:t>100</w:t>
            </w:r>
          </w:p>
          <w:p>
            <w:pPr>
              <w:spacing w:before="0" w:after="40" w:line="252" w:lineRule="auto"/>
            </w:pPr>
            <w:r>
              <w:rPr>
                <w:rFonts w:ascii="Aptos" w:hAnsi="Aptos"/>
                <w:b w:val="0"/>
                <w:i w:val="0"/>
                <w:color w:val="161814"/>
                <w:sz w:val="18"/>
              </w:rPr>
              <w:t>routes publiques prerendered vérifiées</w:t>
            </w:r>
          </w:p>
        </w:tc>
        <w:tc>
          <w:tcPr>
            <w:tcW w:type="dxa" w:w="5040"/>
            <w:shd w:fill="FBECE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r>
            <w:r>
              <w:rPr>
                <w:rFonts w:ascii="Aptos" w:hAnsi="Aptos"/>
                <w:b w:val="0"/>
                <w:i w:val="0"/>
                <w:color w:val="161814"/>
                <w:sz w:val="18"/>
              </w:rPr>
              <w:t>EN / FR</w:t>
            </w:r>
          </w:p>
          <w:p>
            <w:pPr>
              <w:spacing w:before="0" w:after="40" w:line="252" w:lineRule="auto"/>
            </w:pPr>
            <w:r>
              <w:rPr>
                <w:rFonts w:ascii="Aptos" w:hAnsi="Aptos"/>
                <w:b w:val="0"/>
                <w:i w:val="0"/>
                <w:color w:val="161814"/>
                <w:sz w:val="18"/>
              </w:rPr>
              <w:t>expérience bilingue du site et du staff</w:t>
            </w:r>
          </w:p>
        </w:tc>
      </w:tr>
    </w:tbl>
    <w:p>
      <w:pPr>
        <w:pStyle w:val="Heading2"/>
        <w:keepNext/>
        <w:spacing w:before="240" w:after="100" w:line="252" w:lineRule="auto"/>
      </w:pPr>
      <w:r>
        <w:rPr>
          <w:rFonts w:ascii="Georgia" w:hAnsi="Georgia"/>
          <w:b w:val="0"/>
          <w:i w:val="0"/>
          <w:color w:val="000000"/>
          <w:sz w:val="30"/>
        </w:rPr>
        <w:t>Situation actuelle</w:t>
      </w:r>
    </w:p>
    <w:p>
      <w:pPr>
        <w:spacing w:before="0" w:after="160" w:line="283" w:lineRule="auto"/>
      </w:pPr>
      <w:r>
        <w:rPr>
          <w:rFonts w:ascii="Aptos" w:hAnsi="Aptos"/>
          <w:b w:val="0"/>
          <w:i w:val="0"/>
          <w:color w:val="161814"/>
          <w:sz w:val="21"/>
        </w:rPr>
        <w:t>Le socle fonctionnel est suffisamment avancé pour poursuivre les validations métier avec le client. Les demandes envoyées depuis le site sont conservées côté serveur, identifiables par une référence et accessibles à l équipe opérationnelle. La charte présentée dans la seconde partie formalise le nouveau système visuel utilisé dans le site public et le backoffice.</w:t>
      </w:r>
    </w:p>
    <w:p>
      <w:r>
        <w:br w:type="page"/>
      </w:r>
    </w:p>
    <w:p>
      <w:pPr>
        <w:spacing w:before="80" w:after="100" w:line="240" w:lineRule="auto"/>
      </w:pPr>
      <w:r>
        <w:rPr>
          <w:rFonts w:ascii="Aptos" w:hAnsi="Aptos"/>
          <w:b/>
          <w:i w:val="0"/>
          <w:color w:val="DF432B"/>
          <w:sz w:val="16"/>
        </w:rPr>
        <w:t>AVANCEMENT</w:t>
      </w:r>
    </w:p>
    <w:p>
      <w:pPr>
        <w:pStyle w:val="Heading1"/>
        <w:keepNext/>
        <w:spacing w:before="80" w:after="200" w:line="245" w:lineRule="auto"/>
      </w:pPr>
      <w:r>
        <w:rPr>
          <w:rFonts w:ascii="Georgia" w:hAnsi="Georgia"/>
          <w:b w:val="0"/>
          <w:i w:val="0"/>
          <w:color w:val="000000"/>
          <w:sz w:val="48"/>
        </w:rPr>
        <w:t>Progression par phase</w:t>
      </w:r>
    </w:p>
    <w:p>
      <w:pPr>
        <w:spacing w:before="0" w:after="200" w:line="283" w:lineRule="auto"/>
      </w:pPr>
      <w:r>
        <w:rPr>
          <w:rFonts w:ascii="Aptos" w:hAnsi="Aptos"/>
          <w:b w:val="0"/>
          <w:i w:val="0"/>
          <w:color w:val="161814"/>
          <w:sz w:val="21"/>
        </w:rPr>
        <w:t>Les états ci-dessous sont établis à partir des phases documentées dans le dépôt, des parcours implémentés et des vérifications effectuées sur l environnement local.</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8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33A31"/>
          </w:tcPr>
          <w:p>
            <w:pPr>
              <w:spacing w:before="0" w:after="40" w:line="252" w:lineRule="auto"/>
            </w:pPr>
            <w:r>
              <w:rPr>
                <w:rFonts w:ascii="Aptos" w:hAnsi="Aptos"/>
                <w:b/>
                <w:i w:val="0"/>
                <w:color w:val="FFFFFF"/>
                <w:sz w:val="17"/>
              </w:rPr>
              <w:t>Phase</w:t>
            </w:r>
          </w:p>
        </w:tc>
        <w:tc>
          <w:tcPr>
            <w:tcW w:type="dxa" w:w="20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33A31"/>
          </w:tcPr>
          <w:p>
            <w:pPr>
              <w:spacing w:before="0" w:after="40" w:line="252" w:lineRule="auto"/>
            </w:pPr>
            <w:r>
              <w:rPr>
                <w:rFonts w:ascii="Aptos" w:hAnsi="Aptos"/>
                <w:b/>
                <w:i w:val="0"/>
                <w:color w:val="FFFFFF"/>
                <w:sz w:val="17"/>
              </w:rPr>
              <w:t>Périmètre</w:t>
            </w:r>
          </w:p>
        </w:tc>
        <w:tc>
          <w:tcPr>
            <w:tcW w:type="dxa" w:w="115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33A31"/>
          </w:tcPr>
          <w:p>
            <w:pPr>
              <w:spacing w:before="0" w:after="40" w:line="252" w:lineRule="auto"/>
            </w:pPr>
            <w:r>
              <w:rPr>
                <w:rFonts w:ascii="Aptos" w:hAnsi="Aptos"/>
                <w:b/>
                <w:i w:val="0"/>
                <w:color w:val="FFFFFF"/>
                <w:sz w:val="17"/>
              </w:rPr>
              <w:t>État</w:t>
            </w:r>
          </w:p>
        </w:tc>
        <w:tc>
          <w:tcPr>
            <w:tcW w:type="dxa" w:w="5731"/>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33A31"/>
          </w:tcPr>
          <w:p>
            <w:pPr>
              <w:spacing w:before="0" w:after="40" w:line="252" w:lineRule="auto"/>
            </w:pPr>
            <w:r>
              <w:rPr>
                <w:rFonts w:ascii="Aptos" w:hAnsi="Aptos"/>
                <w:b/>
                <w:i w:val="0"/>
                <w:color w:val="FFFFFF"/>
                <w:sz w:val="17"/>
              </w:rPr>
              <w:t>Résultat atteint</w:t>
            </w:r>
          </w:p>
        </w:tc>
      </w:tr>
      <w:tr>
        <w:tc>
          <w:tcPr>
            <w:tcW w:type="dxa" w:w="8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A</w:t>
            </w:r>
          </w:p>
        </w:tc>
        <w:tc>
          <w:tcPr>
            <w:tcW w:type="dxa" w:w="20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Fondation technique</w:t>
            </w:r>
          </w:p>
        </w:tc>
        <w:tc>
          <w:tcPr>
            <w:tcW w:type="dxa" w:w="1152"/>
            <w:shd w:fill="E8F0EC"/>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Réalisée</w:t>
            </w:r>
          </w:p>
        </w:tc>
        <w:tc>
          <w:tcPr>
            <w:tcW w:type="dxa" w:w="5731"/>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Monorepo, gateway, identité, authentification et contrats partagés.</w:t>
            </w:r>
          </w:p>
        </w:tc>
      </w:tr>
      <w:tr>
        <w:tc>
          <w:tcPr>
            <w:tcW w:type="dxa" w:w="8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B</w:t>
            </w:r>
          </w:p>
        </w:tc>
        <w:tc>
          <w:tcPr>
            <w:tcW w:type="dxa" w:w="20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Catalogue et CMS</w:t>
            </w:r>
          </w:p>
        </w:tc>
        <w:tc>
          <w:tcPr>
            <w:tcW w:type="dxa" w:w="1152"/>
            <w:shd w:fill="E8F0EC"/>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Réalisée</w:t>
            </w:r>
          </w:p>
        </w:tc>
        <w:tc>
          <w:tcPr>
            <w:tcW w:type="dxa" w:w="5731"/>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18 véhicules, zones, contenus éditoriaux et interfaces d'administration.</w:t>
            </w:r>
          </w:p>
        </w:tc>
      </w:tr>
      <w:tr>
        <w:tc>
          <w:tcPr>
            <w:tcW w:type="dxa" w:w="8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C</w:t>
            </w:r>
          </w:p>
        </w:tc>
        <w:tc>
          <w:tcPr>
            <w:tcW w:type="dxa" w:w="20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Devis et demandes</w:t>
            </w:r>
          </w:p>
        </w:tc>
        <w:tc>
          <w:tcPr>
            <w:tcW w:type="dxa" w:w="1152"/>
            <w:shd w:fill="E8F0EC"/>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Réalisée</w:t>
            </w:r>
          </w:p>
        </w:tc>
        <w:tc>
          <w:tcPr>
            <w:tcW w:type="dxa" w:w="5731"/>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Création de devis, notification et boîte de réception staff.</w:t>
            </w:r>
          </w:p>
        </w:tc>
      </w:tr>
      <w:tr>
        <w:tc>
          <w:tcPr>
            <w:tcW w:type="dxa" w:w="8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D</w:t>
            </w:r>
          </w:p>
        </w:tc>
        <w:tc>
          <w:tcPr>
            <w:tcW w:type="dxa" w:w="20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Disponibilité flotte</w:t>
            </w:r>
          </w:p>
        </w:tc>
        <w:tc>
          <w:tcPr>
            <w:tcW w:type="dxa" w:w="1152"/>
            <w:shd w:fill="E8F0EC"/>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Réalisée</w:t>
            </w:r>
          </w:p>
        </w:tc>
        <w:tc>
          <w:tcPr>
            <w:tcW w:type="dxa" w:w="5731"/>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Véhicules physiques, calendrier et recherche de disponibilité.</w:t>
            </w:r>
          </w:p>
        </w:tc>
      </w:tr>
      <w:tr>
        <w:tc>
          <w:tcPr>
            <w:tcW w:type="dxa" w:w="8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E</w:t>
            </w:r>
          </w:p>
        </w:tc>
        <w:tc>
          <w:tcPr>
            <w:tcW w:type="dxa" w:w="20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Réservations</w:t>
            </w:r>
          </w:p>
        </w:tc>
        <w:tc>
          <w:tcPr>
            <w:tcW w:type="dxa" w:w="1152"/>
            <w:shd w:fill="E8F0EC"/>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Réalisée</w:t>
            </w:r>
          </w:p>
        </w:tc>
        <w:tc>
          <w:tcPr>
            <w:tcW w:type="dxa" w:w="5731"/>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Statuts, validation métier, confirmation et blocage du calendrier.</w:t>
            </w:r>
          </w:p>
        </w:tc>
      </w:tr>
      <w:tr>
        <w:tc>
          <w:tcPr>
            <w:tcW w:type="dxa" w:w="8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F</w:t>
            </w:r>
          </w:p>
        </w:tc>
        <w:tc>
          <w:tcPr>
            <w:tcW w:type="dxa" w:w="20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Facturation</w:t>
            </w:r>
          </w:p>
        </w:tc>
        <w:tc>
          <w:tcPr>
            <w:tcW w:type="dxa" w:w="1152"/>
            <w:shd w:fill="E8F0EC"/>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Réalisée</w:t>
            </w:r>
          </w:p>
        </w:tc>
        <w:tc>
          <w:tcPr>
            <w:tcW w:type="dxa" w:w="5731"/>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Paiement, webhooks, dépôt et facturation entreprise documentés.</w:t>
            </w:r>
          </w:p>
        </w:tc>
      </w:tr>
      <w:tr>
        <w:tc>
          <w:tcPr>
            <w:tcW w:type="dxa" w:w="8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G</w:t>
            </w:r>
          </w:p>
        </w:tc>
        <w:tc>
          <w:tcPr>
            <w:tcW w:type="dxa" w:w="20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Dispatch</w:t>
            </w:r>
          </w:p>
        </w:tc>
        <w:tc>
          <w:tcPr>
            <w:tcW w:type="dxa" w:w="1152"/>
            <w:shd w:fill="E8F0EC"/>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Réalisée</w:t>
            </w:r>
          </w:p>
        </w:tc>
        <w:tc>
          <w:tcPr>
            <w:tcW w:type="dxa" w:w="5731"/>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Chauffeurs, transferts, affectation et statuts opérationnels.</w:t>
            </w:r>
          </w:p>
        </w:tc>
      </w:tr>
      <w:tr>
        <w:tc>
          <w:tcPr>
            <w:tcW w:type="dxa" w:w="8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H</w:t>
            </w:r>
          </w:p>
        </w:tc>
        <w:tc>
          <w:tcPr>
            <w:tcW w:type="dxa" w:w="20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Comptes clients</w:t>
            </w:r>
          </w:p>
        </w:tc>
        <w:tc>
          <w:tcPr>
            <w:tcW w:type="dxa" w:w="1152"/>
            <w:shd w:fill="F4EEE3"/>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Partielle</w:t>
            </w:r>
          </w:p>
        </w:tc>
        <w:tc>
          <w:tcPr>
            <w:tcW w:type="dxa" w:w="5731"/>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Profil de facturation entreprise livré; espace client et rattachements à finaliser.</w:t>
            </w:r>
          </w:p>
        </w:tc>
      </w:tr>
      <w:tr>
        <w:tc>
          <w:tcPr>
            <w:tcW w:type="dxa" w:w="8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I</w:t>
            </w:r>
          </w:p>
        </w:tc>
        <w:tc>
          <w:tcPr>
            <w:tcW w:type="dxa" w:w="20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Frontend et SEO</w:t>
            </w:r>
          </w:p>
        </w:tc>
        <w:tc>
          <w:tcPr>
            <w:tcW w:type="dxa" w:w="1152"/>
            <w:shd w:fill="E8F0EC"/>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Réalisée</w:t>
            </w:r>
          </w:p>
        </w:tc>
        <w:tc>
          <w:tcPr>
            <w:tcW w:type="dxa" w:w="5731"/>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Parcours EN/FR, API gateway, flotte dynamique et prerender SEO.</w:t>
            </w:r>
          </w:p>
        </w:tc>
      </w:tr>
      <w:tr>
        <w:tc>
          <w:tcPr>
            <w:tcW w:type="dxa" w:w="86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J</w:t>
            </w:r>
          </w:p>
        </w:tc>
        <w:tc>
          <w:tcPr>
            <w:tcW w:type="dxa" w:w="20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Backoffice visuel</w:t>
            </w:r>
          </w:p>
        </w:tc>
        <w:tc>
          <w:tcPr>
            <w:tcW w:type="dxa" w:w="1152"/>
            <w:shd w:fill="E8F0EC"/>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Réalisée</w:t>
            </w:r>
          </w:p>
        </w:tc>
        <w:tc>
          <w:tcPr>
            <w:tcW w:type="dxa" w:w="5731"/>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7"/>
              </w:rPr>
              <w:t>Backoffice /admin, login staff, devis, catalogue, CMS, flotte et dispatch.</w:t>
            </w:r>
          </w:p>
        </w:tc>
      </w:tr>
    </w:tbl>
    <w:p>
      <w:pPr>
        <w:pStyle w:val="Heading2"/>
        <w:keepNext/>
        <w:spacing w:before="240" w:after="100" w:line="252" w:lineRule="auto"/>
      </w:pPr>
      <w:r>
        <w:rPr>
          <w:rFonts w:ascii="Georgia" w:hAnsi="Georgia"/>
          <w:b w:val="0"/>
          <w:i w:val="0"/>
          <w:color w:val="000000"/>
          <w:sz w:val="30"/>
        </w:rPr>
        <w:t>Phase actuellement ouverte</w:t>
      </w:r>
    </w:p>
    <w:p>
      <w:pPr>
        <w:spacing w:before="0" w:after="160" w:line="283" w:lineRule="auto"/>
      </w:pPr>
      <w:r>
        <w:rPr>
          <w:rFonts w:ascii="Aptos" w:hAnsi="Aptos"/>
          <w:b w:val="0"/>
          <w:i w:val="0"/>
          <w:color w:val="161814"/>
          <w:sz w:val="21"/>
        </w:rPr>
        <w:t>La phase H Comptes clients est partiellement réalisée. Le profil de facturation entreprise est présent, tandis que la consultation des réservations client, le rattachement automatique des demandes à un compte et la gestion complète des comptes entreprise restent à finaliser.</w:t>
      </w:r>
    </w:p>
    <w:p>
      <w:pPr>
        <w:spacing w:before="0" w:after="160" w:line="283" w:lineRule="auto"/>
      </w:pPr>
      <w:r>
        <w:rPr>
          <w:rFonts w:ascii="Aptos" w:hAnsi="Aptos"/>
          <w:b w:val="0"/>
          <w:i w:val="0"/>
          <w:color w:val="161814"/>
          <w:sz w:val="21"/>
        </w:rPr>
        <w:t>En parallèle, le lot de travail suivant est la transformation de la boîte de devis en véritable espace de réservation : recherche opérationnelle, détail unifié demande-client-trajet-véhicule, disponibilité, confirmation, affectation et suivi des statuts.</w:t>
      </w:r>
    </w:p>
    <w:p>
      <w:r>
        <w:br w:type="page"/>
      </w:r>
    </w:p>
    <w:p>
      <w:pPr>
        <w:spacing w:before="80" w:after="100" w:line="240" w:lineRule="auto"/>
      </w:pPr>
      <w:r>
        <w:rPr>
          <w:rFonts w:ascii="Aptos" w:hAnsi="Aptos"/>
          <w:b/>
          <w:i w:val="0"/>
          <w:color w:val="DF432B"/>
          <w:sz w:val="16"/>
        </w:rPr>
        <w:t>LIVRABLES</w:t>
      </w:r>
    </w:p>
    <w:p>
      <w:pPr>
        <w:pStyle w:val="Heading1"/>
        <w:keepNext/>
        <w:spacing w:before="80" w:after="200" w:line="245" w:lineRule="auto"/>
      </w:pPr>
      <w:r>
        <w:rPr>
          <w:rFonts w:ascii="Georgia" w:hAnsi="Georgia"/>
          <w:b w:val="0"/>
          <w:i w:val="0"/>
          <w:color w:val="000000"/>
          <w:sz w:val="48"/>
        </w:rPr>
        <w:t>Ce qui a été réalisé</w:t>
      </w:r>
    </w:p>
    <w:p>
      <w:pPr>
        <w:pStyle w:val="Heading2"/>
        <w:keepNext/>
        <w:spacing w:before="240" w:after="100" w:line="252" w:lineRule="auto"/>
      </w:pPr>
      <w:r>
        <w:rPr>
          <w:rFonts w:ascii="Georgia" w:hAnsi="Georgia"/>
          <w:b w:val="0"/>
          <w:i w:val="0"/>
          <w:color w:val="000000"/>
          <w:sz w:val="30"/>
        </w:rPr>
        <w:t>Expérience publique</w:t>
      </w:r>
    </w:p>
    <w:p>
      <w:pPr>
        <w:pStyle w:val="ListBullet"/>
        <w:spacing w:before="0" w:after="80" w:line="264" w:lineRule="auto"/>
      </w:pPr>
      <w:r>
        <w:rPr>
          <w:rFonts w:ascii="Aptos" w:hAnsi="Aptos"/>
          <w:b/>
          <w:i w:val="0"/>
          <w:color w:val="161814"/>
          <w:sz w:val="20"/>
        </w:rPr>
        <w:t xml:space="preserve">Site bilingue : </w:t>
      </w:r>
      <w:r>
        <w:rPr>
          <w:rFonts w:ascii="Aptos" w:hAnsi="Aptos"/>
          <w:b w:val="0"/>
          <w:i w:val="0"/>
          <w:color w:val="161814"/>
          <w:sz w:val="20"/>
        </w:rPr>
        <w:t>routes EN/FR, sélecteur de langue en dropdown, navigation mobile et contenus adaptés à la Tunisie.</w:t>
      </w:r>
    </w:p>
    <w:p>
      <w:pPr>
        <w:pStyle w:val="ListBullet"/>
        <w:spacing w:before="0" w:after="80" w:line="264" w:lineRule="auto"/>
      </w:pPr>
      <w:r>
        <w:rPr>
          <w:rFonts w:ascii="Aptos" w:hAnsi="Aptos"/>
          <w:b/>
          <w:i w:val="0"/>
          <w:color w:val="161814"/>
          <w:sz w:val="20"/>
        </w:rPr>
        <w:t xml:space="preserve">Offre commerciale : </w:t>
      </w:r>
      <w:r>
        <w:rPr>
          <w:rFonts w:ascii="Aptos" w:hAnsi="Aptos"/>
          <w:b w:val="0"/>
          <w:i w:val="0"/>
          <w:color w:val="161814"/>
          <w:sz w:val="20"/>
        </w:rPr>
        <w:t>services de location, transferts aéroport, chauffeur privé, flotte de 18 véhicules, destinations et journal de voyage.</w:t>
      </w:r>
    </w:p>
    <w:p>
      <w:pPr>
        <w:pStyle w:val="ListBullet"/>
        <w:spacing w:before="0" w:after="80" w:line="264" w:lineRule="auto"/>
      </w:pPr>
      <w:r>
        <w:rPr>
          <w:rFonts w:ascii="Aptos" w:hAnsi="Aptos"/>
          <w:b/>
          <w:i w:val="0"/>
          <w:color w:val="161814"/>
          <w:sz w:val="20"/>
        </w:rPr>
        <w:t xml:space="preserve">Responsive design : </w:t>
      </w:r>
      <w:r>
        <w:rPr>
          <w:rFonts w:ascii="Aptos" w:hAnsi="Aptos"/>
          <w:b w:val="0"/>
          <w:i w:val="0"/>
          <w:color w:val="161814"/>
          <w:sz w:val="20"/>
        </w:rPr>
        <w:t>corrections de navigation, sections d accueil, cartes de véhicules, filtres de flotte, formulaires et blocs de confiance sur mobile.</w:t>
      </w:r>
    </w:p>
    <w:p>
      <w:pPr>
        <w:pStyle w:val="ListBullet"/>
        <w:spacing w:before="0" w:after="80" w:line="264" w:lineRule="auto"/>
      </w:pPr>
      <w:r>
        <w:rPr>
          <w:rFonts w:ascii="Aptos" w:hAnsi="Aptos"/>
          <w:b/>
          <w:i w:val="0"/>
          <w:color w:val="161814"/>
          <w:sz w:val="20"/>
        </w:rPr>
        <w:t xml:space="preserve">Référencement : </w:t>
      </w:r>
      <w:r>
        <w:rPr>
          <w:rFonts w:ascii="Aptos" w:hAnsi="Aptos"/>
          <w:b w:val="0"/>
          <w:i w:val="0"/>
          <w:color w:val="161814"/>
          <w:sz w:val="20"/>
        </w:rPr>
        <w:t>routes publiques prerendered, métadonnées, canonical, hreflang, sitemap et exclusion du backoffice des pages SEO publiques.</w:t>
      </w:r>
    </w:p>
    <w:p>
      <w:pPr>
        <w:pStyle w:val="Heading2"/>
        <w:keepNext/>
        <w:spacing w:before="240" w:after="100" w:line="252" w:lineRule="auto"/>
      </w:pPr>
      <w:r>
        <w:rPr>
          <w:rFonts w:ascii="Georgia" w:hAnsi="Georgia"/>
          <w:b w:val="0"/>
          <w:i w:val="0"/>
          <w:color w:val="000000"/>
          <w:sz w:val="30"/>
        </w:rPr>
        <w:t>Backend et opérations</w:t>
      </w:r>
    </w:p>
    <w:p>
      <w:pPr>
        <w:pStyle w:val="ListBullet"/>
        <w:spacing w:before="0" w:after="80" w:line="264" w:lineRule="auto"/>
      </w:pPr>
      <w:r>
        <w:rPr>
          <w:rFonts w:ascii="Aptos" w:hAnsi="Aptos"/>
          <w:b/>
          <w:i w:val="0"/>
          <w:color w:val="161814"/>
          <w:sz w:val="20"/>
        </w:rPr>
        <w:t xml:space="preserve">Architecture : </w:t>
      </w:r>
      <w:r>
        <w:rPr>
          <w:rFonts w:ascii="Aptos" w:hAnsi="Aptos"/>
          <w:b w:val="0"/>
          <w:i w:val="0"/>
          <w:color w:val="161814"/>
          <w:sz w:val="20"/>
        </w:rPr>
        <w:t>gateway HTTP et services NestJS séparés pour identité, catalogue, CMS, réservation, flotte, dispatch, facturation et notifications.</w:t>
      </w:r>
    </w:p>
    <w:p>
      <w:pPr>
        <w:pStyle w:val="ListBullet"/>
        <w:spacing w:before="0" w:after="80" w:line="264" w:lineRule="auto"/>
      </w:pPr>
      <w:r>
        <w:rPr>
          <w:rFonts w:ascii="Aptos" w:hAnsi="Aptos"/>
          <w:b/>
          <w:i w:val="0"/>
          <w:color w:val="161814"/>
          <w:sz w:val="20"/>
        </w:rPr>
        <w:t xml:space="preserve">Environnements : </w:t>
      </w:r>
      <w:r>
        <w:rPr>
          <w:rFonts w:ascii="Aptos" w:hAnsi="Aptos"/>
          <w:b w:val="0"/>
          <w:i w:val="0"/>
          <w:color w:val="161814"/>
          <w:sz w:val="20"/>
        </w:rPr>
        <w:t>SQLite utilisé par défaut en local pour simplifier le démarrage; PostgreSQL conservé pour la production et Docker.</w:t>
      </w:r>
    </w:p>
    <w:p>
      <w:pPr>
        <w:pStyle w:val="ListBullet"/>
        <w:spacing w:before="0" w:after="80" w:line="264" w:lineRule="auto"/>
      </w:pPr>
      <w:r>
        <w:rPr>
          <w:rFonts w:ascii="Aptos" w:hAnsi="Aptos"/>
          <w:b/>
          <w:i w:val="0"/>
          <w:color w:val="161814"/>
          <w:sz w:val="20"/>
        </w:rPr>
        <w:t xml:space="preserve">Sécurité : </w:t>
      </w:r>
      <w:r>
        <w:rPr>
          <w:rFonts w:ascii="Aptos" w:hAnsi="Aptos"/>
          <w:b w:val="0"/>
          <w:i w:val="0"/>
          <w:color w:val="161814"/>
          <w:sz w:val="20"/>
        </w:rPr>
        <w:t>authentification JWT, rôles staff, validation des payloads, API gateway unique et documentation Swagger.</w:t>
      </w:r>
    </w:p>
    <w:p>
      <w:pPr>
        <w:pStyle w:val="Heading2"/>
        <w:keepNext/>
        <w:spacing w:before="240" w:after="100" w:line="252" w:lineRule="auto"/>
      </w:pPr>
      <w:r>
        <w:rPr>
          <w:rFonts w:ascii="Georgia" w:hAnsi="Georgia"/>
          <w:b w:val="0"/>
          <w:i w:val="0"/>
          <w:color w:val="000000"/>
          <w:sz w:val="30"/>
        </w:rPr>
        <w:t>Parcours de demande connecté</w:t>
      </w:r>
    </w:p>
    <w:p>
      <w:pPr>
        <w:spacing w:before="0" w:after="160" w:line="283" w:lineRule="auto"/>
      </w:pPr>
      <w:r>
        <w:rPr>
          <w:rFonts w:ascii="Aptos" w:hAnsi="Aptos"/>
          <w:b w:val="0"/>
          <w:i w:val="0"/>
          <w:color w:val="161814"/>
          <w:sz w:val="21"/>
        </w:rPr>
        <w:t>Le parcours de réservation initial est maintenant relié de bout en bout. WhatsApp reste un canal de suivi optionnel et ne remplace pas la persistance serveur.</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16"/>
            <w:shd w:fill="133A31"/>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i w:val="0"/>
                <w:color w:val="FFFFFF"/>
                <w:sz w:val="16"/>
              </w:rPr>
              <w:t>Formulaire public</w:t>
            </w:r>
          </w:p>
        </w:tc>
        <w:tc>
          <w:tcPr>
            <w:tcW w:type="dxa" w:w="2016"/>
            <w:shd w:fill="101C1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i w:val="0"/>
                <w:color w:val="FFFFFF"/>
                <w:sz w:val="16"/>
              </w:rPr>
              <w:t>Gateway API</w:t>
            </w:r>
          </w:p>
        </w:tc>
        <w:tc>
          <w:tcPr>
            <w:tcW w:type="dxa" w:w="2016"/>
            <w:shd w:fill="133A31"/>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i w:val="0"/>
                <w:color w:val="FFFFFF"/>
                <w:sz w:val="16"/>
              </w:rPr>
              <w:t>Booking</w:t>
            </w:r>
          </w:p>
        </w:tc>
        <w:tc>
          <w:tcPr>
            <w:tcW w:type="dxa" w:w="2016"/>
            <w:shd w:fill="101C1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i w:val="0"/>
                <w:color w:val="FFFFFF"/>
                <w:sz w:val="16"/>
              </w:rPr>
              <w:t>Référence</w:t>
            </w:r>
          </w:p>
        </w:tc>
        <w:tc>
          <w:tcPr>
            <w:tcW w:type="dxa" w:w="2016"/>
            <w:shd w:fill="133A31"/>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i w:val="0"/>
                <w:color w:val="FFFFFF"/>
                <w:sz w:val="16"/>
              </w:rPr>
              <w:t>Backoffice</w:t>
            </w:r>
          </w:p>
        </w:tc>
      </w:tr>
      <w:tr>
        <w:tc>
          <w:tcPr>
            <w:tcW w:type="dxa" w:w="2016"/>
            <w:shd w:fill="E8F0EC"/>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6"/>
              </w:rPr>
              <w:t>Location, transfert ou chauffeur</w:t>
            </w:r>
          </w:p>
        </w:tc>
        <w:tc>
          <w:tcPr>
            <w:tcW w:type="dxa" w:w="2016"/>
            <w:shd w:fill="E8F0EC"/>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6"/>
              </w:rPr>
              <w:t>Validation et orchestration</w:t>
            </w:r>
          </w:p>
        </w:tc>
        <w:tc>
          <w:tcPr>
            <w:tcW w:type="dxa" w:w="2016"/>
            <w:shd w:fill="E8F0EC"/>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6"/>
              </w:rPr>
              <w:t>Demande conservée</w:t>
            </w:r>
          </w:p>
        </w:tc>
        <w:tc>
          <w:tcPr>
            <w:tcW w:type="dxa" w:w="2016"/>
            <w:shd w:fill="E8F0EC"/>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6"/>
              </w:rPr>
              <w:t>VC-XXXXXXXX</w:t>
            </w:r>
          </w:p>
        </w:tc>
        <w:tc>
          <w:tcPr>
            <w:tcW w:type="dxa" w:w="2016"/>
            <w:shd w:fill="F4EEE3"/>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6"/>
              </w:rPr>
              <w:t>Prix puis confirmation</w:t>
            </w:r>
          </w:p>
        </w:tc>
      </w:tr>
    </w:tbl>
    <w:p>
      <w:r>
        <w:br w:type="page"/>
      </w:r>
    </w:p>
    <w:p>
      <w:pPr>
        <w:spacing w:before="80" w:after="100" w:line="240" w:lineRule="auto"/>
      </w:pPr>
      <w:r>
        <w:rPr>
          <w:rFonts w:ascii="Aptos" w:hAnsi="Aptos"/>
          <w:b/>
          <w:i w:val="0"/>
          <w:color w:val="DF432B"/>
          <w:sz w:val="16"/>
        </w:rPr>
        <w:t>ARCHITECTURE</w:t>
      </w:r>
    </w:p>
    <w:p>
      <w:pPr>
        <w:pStyle w:val="Heading1"/>
        <w:keepNext/>
        <w:spacing w:before="80" w:after="200" w:line="245" w:lineRule="auto"/>
      </w:pPr>
      <w:r>
        <w:rPr>
          <w:rFonts w:ascii="Georgia" w:hAnsi="Georgia"/>
          <w:b w:val="0"/>
          <w:i w:val="0"/>
          <w:color w:val="000000"/>
          <w:sz w:val="48"/>
        </w:rPr>
        <w:t>Une base prête pour l exploitation</w:t>
      </w:r>
    </w:p>
    <w:p>
      <w:pPr>
        <w:spacing w:before="0" w:after="160" w:line="283" w:lineRule="auto"/>
      </w:pPr>
      <w:r>
        <w:rPr>
          <w:rFonts w:ascii="Aptos" w:hAnsi="Aptos"/>
          <w:b w:val="0"/>
          <w:i w:val="0"/>
          <w:color w:val="161814"/>
          <w:sz w:val="21"/>
        </w:rPr>
        <w:t>Le navigateur communique uniquement avec le gateway. Celui-ci orchestre les services métier via NATS et conserve une séparation claire entre catalogue, réservation, flotte, dispatch, facturation et contenu.</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33A31"/>
          </w:tcPr>
          <w:p>
            <w:pPr>
              <w:spacing w:before="0" w:after="40" w:line="252" w:lineRule="auto"/>
            </w:pPr>
            <w:r>
              <w:rPr>
                <w:rFonts w:ascii="Aptos" w:hAnsi="Aptos"/>
                <w:b/>
                <w:i w:val="0"/>
                <w:color w:val="FFFFFF"/>
                <w:sz w:val="17"/>
              </w:rPr>
              <w:t>Couche</w:t>
            </w:r>
          </w:p>
        </w:tc>
        <w:tc>
          <w:tcPr>
            <w:tcW w:type="dxa" w:w="38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33A31"/>
          </w:tcPr>
          <w:p>
            <w:pPr>
              <w:spacing w:before="0" w:after="40" w:line="252" w:lineRule="auto"/>
            </w:pPr>
            <w:r>
              <w:rPr>
                <w:rFonts w:ascii="Aptos" w:hAnsi="Aptos"/>
                <w:b/>
                <w:i w:val="0"/>
                <w:color w:val="FFFFFF"/>
                <w:sz w:val="17"/>
              </w:rPr>
              <w:t>Composants</w:t>
            </w:r>
          </w:p>
        </w:tc>
        <w:tc>
          <w:tcPr>
            <w:tcW w:type="dxa" w:w="482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33A31"/>
          </w:tcPr>
          <w:p>
            <w:pPr>
              <w:spacing w:before="0" w:after="40" w:line="252" w:lineRule="auto"/>
            </w:pPr>
            <w:r>
              <w:rPr>
                <w:rFonts w:ascii="Aptos" w:hAnsi="Aptos"/>
                <w:b/>
                <w:i w:val="0"/>
                <w:color w:val="FFFFFF"/>
                <w:sz w:val="17"/>
              </w:rPr>
              <w:t>Objectif</w:t>
            </w:r>
          </w:p>
        </w:tc>
      </w:tr>
      <w:tr>
        <w:tc>
          <w:tcPr>
            <w:tcW w:type="dxa" w:w="187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Expérience</w:t>
            </w:r>
          </w:p>
        </w:tc>
        <w:tc>
          <w:tcPr>
            <w:tcW w:type="dxa" w:w="38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Vite, React, EN/FR, /admin</w:t>
            </w:r>
          </w:p>
        </w:tc>
        <w:tc>
          <w:tcPr>
            <w:tcW w:type="dxa" w:w="482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Présenter le service et fournir les points d entrée client et staff.</w:t>
            </w:r>
          </w:p>
        </w:tc>
      </w:tr>
      <w:tr>
        <w:tc>
          <w:tcPr>
            <w:tcW w:type="dxa" w:w="187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Orchestration</w:t>
            </w:r>
          </w:p>
        </w:tc>
        <w:tc>
          <w:tcPr>
            <w:tcW w:type="dxa" w:w="38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Gateway, JWT, OpenAPI, NATS</w:t>
            </w:r>
          </w:p>
        </w:tc>
        <w:tc>
          <w:tcPr>
            <w:tcW w:type="dxa" w:w="482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Valider, sécuriser et diriger les demandes vers le bon service.</w:t>
            </w:r>
          </w:p>
        </w:tc>
      </w:tr>
      <w:tr>
        <w:tc>
          <w:tcPr>
            <w:tcW w:type="dxa" w:w="187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Métier</w:t>
            </w:r>
          </w:p>
        </w:tc>
        <w:tc>
          <w:tcPr>
            <w:tcW w:type="dxa" w:w="38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Booking, Fleet, Dispatch, Billing, Notify</w:t>
            </w:r>
          </w:p>
        </w:tc>
        <w:tc>
          <w:tcPr>
            <w:tcW w:type="dxa" w:w="482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Gérer disponibilité, réservation, opération, paiement et notification.</w:t>
            </w:r>
          </w:p>
        </w:tc>
      </w:tr>
      <w:tr>
        <w:tc>
          <w:tcPr>
            <w:tcW w:type="dxa" w:w="187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Données</w:t>
            </w:r>
          </w:p>
        </w:tc>
        <w:tc>
          <w:tcPr>
            <w:tcW w:type="dxa" w:w="38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SQLite local, PostgreSQL production</w:t>
            </w:r>
          </w:p>
        </w:tc>
        <w:tc>
          <w:tcPr>
            <w:tcW w:type="dxa" w:w="482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Conserver un démarrage simple sans changer la cible de production.</w:t>
            </w:r>
          </w:p>
        </w:tc>
      </w:tr>
    </w:tbl>
    <w:p>
      <w:pPr>
        <w:pStyle w:val="Heading2"/>
        <w:keepNext/>
        <w:spacing w:before="240" w:after="100" w:line="252" w:lineRule="auto"/>
      </w:pPr>
      <w:r>
        <w:rPr>
          <w:rFonts w:ascii="Georgia" w:hAnsi="Georgia"/>
          <w:b w:val="0"/>
          <w:i w:val="0"/>
          <w:color w:val="000000"/>
          <w:sz w:val="30"/>
        </w:rPr>
        <w:t>Vérifications réalisées</w:t>
      </w:r>
    </w:p>
    <w:p>
      <w:pPr>
        <w:pStyle w:val="ListBullet"/>
        <w:spacing w:before="0" w:after="80" w:line="264" w:lineRule="auto"/>
      </w:pPr>
      <w:r>
        <w:rPr>
          <w:rFonts w:ascii="Aptos" w:hAnsi="Aptos"/>
          <w:b/>
          <w:i w:val="0"/>
          <w:color w:val="161814"/>
          <w:sz w:val="20"/>
        </w:rPr>
        <w:t xml:space="preserve">Site public : </w:t>
      </w:r>
      <w:r>
        <w:rPr>
          <w:rFonts w:ascii="Aptos" w:hAnsi="Aptos"/>
          <w:b w:val="0"/>
          <w:i w:val="0"/>
          <w:color w:val="161814"/>
          <w:sz w:val="20"/>
        </w:rPr>
        <w:t>page d accueil et routes publiques accessibles en HTTP 200 sur localhost:5173.</w:t>
      </w:r>
    </w:p>
    <w:p>
      <w:pPr>
        <w:pStyle w:val="ListBullet"/>
        <w:spacing w:before="0" w:after="80" w:line="264" w:lineRule="auto"/>
      </w:pPr>
      <w:r>
        <w:rPr>
          <w:rFonts w:ascii="Aptos" w:hAnsi="Aptos"/>
          <w:b/>
          <w:i w:val="0"/>
          <w:color w:val="161814"/>
          <w:sz w:val="20"/>
        </w:rPr>
        <w:t xml:space="preserve">Backoffice : </w:t>
      </w:r>
      <w:r>
        <w:rPr>
          <w:rFonts w:ascii="Aptos" w:hAnsi="Aptos"/>
          <w:b w:val="0"/>
          <w:i w:val="0"/>
          <w:color w:val="161814"/>
          <w:sz w:val="20"/>
        </w:rPr>
        <w:t>route de connexion staff accessible sur le même port, avec séparation de chemin /admin.</w:t>
      </w:r>
    </w:p>
    <w:p>
      <w:pPr>
        <w:pStyle w:val="ListBullet"/>
        <w:spacing w:before="0" w:after="80" w:line="264" w:lineRule="auto"/>
      </w:pPr>
      <w:r>
        <w:rPr>
          <w:rFonts w:ascii="Aptos" w:hAnsi="Aptos"/>
          <w:b/>
          <w:i w:val="0"/>
          <w:color w:val="161814"/>
          <w:sz w:val="20"/>
        </w:rPr>
        <w:t xml:space="preserve">API : </w:t>
      </w:r>
      <w:r>
        <w:rPr>
          <w:rFonts w:ascii="Aptos" w:hAnsi="Aptos"/>
          <w:b w:val="0"/>
          <w:i w:val="0"/>
          <w:color w:val="161814"/>
          <w:sz w:val="20"/>
        </w:rPr>
        <w:t>healthcheck gateway et documentation Swagger accessibles en HTTP 200 sur localhost:3000.</w:t>
      </w:r>
    </w:p>
    <w:p>
      <w:pPr>
        <w:pStyle w:val="ListBullet"/>
        <w:spacing w:before="0" w:after="80" w:line="264" w:lineRule="auto"/>
      </w:pPr>
      <w:r>
        <w:rPr>
          <w:rFonts w:ascii="Aptos" w:hAnsi="Aptos"/>
          <w:b/>
          <w:i w:val="0"/>
          <w:color w:val="161814"/>
          <w:sz w:val="20"/>
        </w:rPr>
        <w:t xml:space="preserve">Prerender : </w:t>
      </w:r>
      <w:r>
        <w:rPr>
          <w:rFonts w:ascii="Aptos" w:hAnsi="Aptos"/>
          <w:b w:val="0"/>
          <w:i w:val="0"/>
          <w:color w:val="161814"/>
          <w:sz w:val="20"/>
        </w:rPr>
        <w:t>100 routes publiques EN/FR générées avec succès lors de la validation de production.</w:t>
      </w:r>
    </w:p>
    <w:p>
      <w:r>
        <w:br w:type="page"/>
      </w:r>
    </w:p>
    <w:p>
      <w:pPr>
        <w:spacing w:before="80" w:after="100" w:line="240" w:lineRule="auto"/>
      </w:pPr>
      <w:r>
        <w:rPr>
          <w:rFonts w:ascii="Aptos" w:hAnsi="Aptos"/>
          <w:b/>
          <w:i w:val="0"/>
          <w:color w:val="DF432B"/>
          <w:sz w:val="16"/>
        </w:rPr>
        <w:t>CHARTE GRAPHIQUE</w:t>
      </w:r>
    </w:p>
    <w:p>
      <w:pPr>
        <w:pStyle w:val="Heading1"/>
        <w:keepNext/>
        <w:spacing w:before="80" w:after="200" w:line="245" w:lineRule="auto"/>
      </w:pPr>
      <w:r>
        <w:rPr>
          <w:rFonts w:ascii="Georgia" w:hAnsi="Georgia"/>
          <w:b w:val="0"/>
          <w:i w:val="0"/>
          <w:color w:val="000000"/>
          <w:sz w:val="48"/>
        </w:rPr>
        <w:t>Nouvelle identité VIPCAR</w:t>
      </w:r>
    </w:p>
    <w:p>
      <w:pPr>
        <w:spacing w:before="0" w:after="160" w:line="283" w:lineRule="auto"/>
      </w:pPr>
      <w:r>
        <w:rPr>
          <w:rFonts w:ascii="Aptos" w:hAnsi="Aptos"/>
          <w:b w:val="0"/>
          <w:i w:val="0"/>
          <w:color w:val="161814"/>
          <w:sz w:val="21"/>
        </w:rPr>
        <w:t>La nouvelle direction visuelle s appuie sur une mobilité premium, locale et directe. Le symbole géométrique évoque une route et un mouvement vers l avant; le terracotta apporte l énergie de la marque et le vert profond installe la confiance.</w:t>
      </w:r>
    </w:p>
    <w:p>
      <w:pPr>
        <w:pStyle w:val="Heading2"/>
        <w:keepNext/>
        <w:spacing w:before="240" w:after="100" w:line="252" w:lineRule="auto"/>
      </w:pPr>
      <w:r>
        <w:rPr>
          <w:rFonts w:ascii="Georgia" w:hAnsi="Georgia"/>
          <w:b w:val="0"/>
          <w:i w:val="0"/>
          <w:color w:val="000000"/>
          <w:sz w:val="30"/>
        </w:rPr>
        <w:t>Logotype</w:t>
      </w:r>
    </w:p>
    <w:tbl>
      <w:tblPr>
        <w:tblStyle w:val="TableGrid"/>
        <w:tblW w:type="auto" w:w="0"/>
        <w:jc w:val="center"/>
        <w:tblLayout w:type="fixed"/>
        <w:tblLook w:firstColumn="1" w:firstRow="1" w:lastColumn="0" w:lastRow="0" w:noHBand="0" w:noVBand="1" w:val="04A0"/>
      </w:tblPr>
      <w:tblGrid>
        <w:gridCol w:w="5083"/>
        <w:gridCol w:w="5083"/>
      </w:tblGrid>
      <w:tr>
        <w:tc>
          <w:tcPr>
            <w:tcW w:type="dxa" w:w="5040"/>
            <w:shd w:fill="F7F5E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jc w:val="center"/>
            </w:pPr>
            <w:r>
              <w:rPr>
                <w:rFonts w:ascii="Aptos" w:hAnsi="Aptos"/>
                <w:b w:val="0"/>
                <w:i w:val="0"/>
                <w:color w:val="161814"/>
                <w:sz w:val="18"/>
              </w:rPr>
            </w:r>
            <w:r>
              <w:rPr>
                <w:rFonts w:ascii="Aptos" w:hAnsi="Aptos"/>
                <w:b w:val="0"/>
                <w:i w:val="0"/>
                <w:color w:val="161814"/>
                <w:sz w:val="18"/>
              </w:rPr>
              <w:drawing>
                <wp:inline xmlns:a="http://schemas.openxmlformats.org/drawingml/2006/main" xmlns:pic="http://schemas.openxmlformats.org/drawingml/2006/picture">
                  <wp:extent cx="2423160" cy="545211"/>
                  <wp:docPr id="2" name="Picture 2"/>
                  <wp:cNvGraphicFramePr>
                    <a:graphicFrameLocks noChangeAspect="1"/>
                  </wp:cNvGraphicFramePr>
                  <a:graphic>
                    <a:graphicData uri="http://schemas.openxmlformats.org/drawingml/2006/picture">
                      <pic:pic>
                        <pic:nvPicPr>
                          <pic:cNvPr id="0" name="vipcar-logo-primary.png"/>
                          <pic:cNvPicPr/>
                        </pic:nvPicPr>
                        <pic:blipFill>
                          <a:blip r:embed="rId11"/>
                          <a:stretch>
                            <a:fillRect/>
                          </a:stretch>
                        </pic:blipFill>
                        <pic:spPr>
                          <a:xfrm>
                            <a:off x="0" y="0"/>
                            <a:ext cx="2423160" cy="545211"/>
                          </a:xfrm>
                          <a:prstGeom prst="rect"/>
                        </pic:spPr>
                      </pic:pic>
                    </a:graphicData>
                  </a:graphic>
                </wp:inline>
              </w:drawing>
            </w:r>
          </w:p>
          <w:p>
            <w:pPr>
              <w:spacing w:before="0" w:after="40" w:line="252" w:lineRule="auto"/>
              <w:jc w:val="center"/>
            </w:pPr>
            <w:r>
              <w:rPr>
                <w:rFonts w:ascii="Aptos" w:hAnsi="Aptos"/>
                <w:b w:val="0"/>
                <w:i w:val="0"/>
                <w:color w:val="161814"/>
                <w:sz w:val="18"/>
              </w:rPr>
              <w:t>Version principale</w:t>
            </w:r>
          </w:p>
        </w:tc>
        <w:tc>
          <w:tcPr>
            <w:tcW w:type="dxa" w:w="5040"/>
            <w:shd w:fill="101C1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jc w:val="center"/>
            </w:pPr>
            <w:r>
              <w:rPr>
                <w:rFonts w:ascii="Aptos" w:hAnsi="Aptos"/>
                <w:b w:val="0"/>
                <w:i w:val="0"/>
                <w:color w:val="161814"/>
                <w:sz w:val="18"/>
              </w:rPr>
            </w:r>
            <w:r>
              <w:rPr>
                <w:rFonts w:ascii="Aptos" w:hAnsi="Aptos"/>
                <w:b w:val="0"/>
                <w:i w:val="0"/>
                <w:color w:val="161814"/>
                <w:sz w:val="18"/>
              </w:rPr>
              <w:drawing>
                <wp:inline xmlns:a="http://schemas.openxmlformats.org/drawingml/2006/main" xmlns:pic="http://schemas.openxmlformats.org/drawingml/2006/picture">
                  <wp:extent cx="2423160" cy="545211"/>
                  <wp:docPr id="3" name="Picture 3"/>
                  <wp:cNvGraphicFramePr>
                    <a:graphicFrameLocks noChangeAspect="1"/>
                  </wp:cNvGraphicFramePr>
                  <a:graphic>
                    <a:graphicData uri="http://schemas.openxmlformats.org/drawingml/2006/picture">
                      <pic:pic>
                        <pic:nvPicPr>
                          <pic:cNvPr id="0" name="vipcar-logo-reverse.png"/>
                          <pic:cNvPicPr/>
                        </pic:nvPicPr>
                        <pic:blipFill>
                          <a:blip r:embed="rId12"/>
                          <a:stretch>
                            <a:fillRect/>
                          </a:stretch>
                        </pic:blipFill>
                        <pic:spPr>
                          <a:xfrm>
                            <a:off x="0" y="0"/>
                            <a:ext cx="2423160" cy="545211"/>
                          </a:xfrm>
                          <a:prstGeom prst="rect"/>
                        </pic:spPr>
                      </pic:pic>
                    </a:graphicData>
                  </a:graphic>
                </wp:inline>
              </w:drawing>
            </w:r>
          </w:p>
          <w:p>
            <w:pPr>
              <w:spacing w:before="0" w:after="40" w:line="252" w:lineRule="auto"/>
              <w:jc w:val="center"/>
            </w:pPr>
            <w:r>
              <w:rPr>
                <w:rFonts w:ascii="Aptos" w:hAnsi="Aptos"/>
                <w:b w:val="0"/>
                <w:i w:val="0"/>
                <w:color w:val="161814"/>
                <w:sz w:val="18"/>
              </w:rPr>
              <w:t>Version reverse transparente</w:t>
            </w:r>
          </w:p>
        </w:tc>
      </w:tr>
    </w:tbl>
    <w:p>
      <w:pPr>
        <w:spacing w:before="0" w:after="160" w:line="283" w:lineRule="auto"/>
      </w:pPr>
      <w:r>
        <w:rPr>
          <w:rFonts w:ascii="Aptos" w:hAnsi="Aptos"/>
          <w:b w:val="0"/>
          <w:i w:val="0"/>
          <w:color w:val="161814"/>
          <w:sz w:val="21"/>
        </w:rPr>
        <w:t>Le logotype principal est transparent et horizontal pour rester lisible dans le header, les supports digitaux et les documents. La version reverse est réservée aux surfaces foncées, notamment le footer.</w:t>
      </w:r>
    </w:p>
    <w:p>
      <w:pPr>
        <w:pStyle w:val="Heading2"/>
        <w:keepNext/>
        <w:spacing w:before="240" w:after="100" w:line="252" w:lineRule="auto"/>
      </w:pPr>
      <w:r>
        <w:rPr>
          <w:rFonts w:ascii="Georgia" w:hAnsi="Georgia"/>
          <w:b w:val="0"/>
          <w:i w:val="0"/>
          <w:color w:val="000000"/>
          <w:sz w:val="30"/>
        </w:rPr>
        <w:t>Favicon</w:t>
      </w:r>
    </w:p>
    <w:p>
      <w:pPr>
        <w:jc w:val="left"/>
      </w:pPr>
      <w:r>
        <w:drawing>
          <wp:inline xmlns:a="http://schemas.openxmlformats.org/drawingml/2006/main" xmlns:pic="http://schemas.openxmlformats.org/drawingml/2006/picture">
            <wp:extent cx="658368" cy="658368"/>
            <wp:docPr id="4" name="Picture 4"/>
            <wp:cNvGraphicFramePr>
              <a:graphicFrameLocks noChangeAspect="1"/>
            </wp:cNvGraphicFramePr>
            <a:graphic>
              <a:graphicData uri="http://schemas.openxmlformats.org/drawingml/2006/picture">
                <pic:pic>
                  <pic:nvPicPr>
                    <pic:cNvPr id="0" name="vipcar-favicon.png"/>
                    <pic:cNvPicPr/>
                  </pic:nvPicPr>
                  <pic:blipFill>
                    <a:blip r:embed="rId13"/>
                    <a:stretch>
                      <a:fillRect/>
                    </a:stretch>
                  </pic:blipFill>
                  <pic:spPr>
                    <a:xfrm>
                      <a:off x="0" y="0"/>
                      <a:ext cx="658368" cy="658368"/>
                    </a:xfrm>
                    <a:prstGeom prst="rect"/>
                  </pic:spPr>
                </pic:pic>
              </a:graphicData>
            </a:graphic>
          </wp:inline>
        </w:drawing>
      </w:r>
      <w:r>
        <w:rPr>
          <w:rFonts w:ascii="Aptos" w:hAnsi="Aptos"/>
          <w:b w:val="0"/>
          <w:i w:val="0"/>
          <w:color w:val="6D7068"/>
          <w:sz w:val="19"/>
        </w:rPr>
        <w:t xml:space="preserve">  Mark seul utilisé pour l onglet navigateur et les petits formats.</w:t>
      </w:r>
    </w:p>
    <w:p>
      <w:pPr>
        <w:pStyle w:val="Heading2"/>
        <w:keepNext/>
        <w:spacing w:before="240" w:after="100" w:line="252" w:lineRule="auto"/>
      </w:pPr>
      <w:r>
        <w:rPr>
          <w:rFonts w:ascii="Georgia" w:hAnsi="Georgia"/>
          <w:b w:val="0"/>
          <w:i w:val="0"/>
          <w:color w:val="000000"/>
          <w:sz w:val="30"/>
        </w:rPr>
        <w:t>Palette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33A31"/>
          </w:tcPr>
          <w:p>
            <w:pPr>
              <w:spacing w:before="0" w:after="40" w:line="252" w:lineRule="auto"/>
            </w:pPr>
            <w:r>
              <w:rPr>
                <w:rFonts w:ascii="Aptos" w:hAnsi="Aptos"/>
                <w:b/>
                <w:i w:val="0"/>
                <w:color w:val="FFFFFF"/>
                <w:sz w:val="17"/>
              </w:rPr>
              <w:t>Couleur</w:t>
            </w:r>
          </w:p>
        </w:tc>
        <w:tc>
          <w:tcPr>
            <w:tcW w:type="dxa" w:w="122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33A31"/>
          </w:tcPr>
          <w:p>
            <w:pPr>
              <w:spacing w:before="0" w:after="40" w:line="252" w:lineRule="auto"/>
            </w:pPr>
            <w:r>
              <w:rPr>
                <w:rFonts w:ascii="Aptos" w:hAnsi="Aptos"/>
                <w:b/>
                <w:i w:val="0"/>
                <w:color w:val="FFFFFF"/>
                <w:sz w:val="17"/>
              </w:rPr>
              <w:t>Code</w:t>
            </w:r>
          </w:p>
        </w:tc>
        <w:tc>
          <w:tcPr>
            <w:tcW w:type="dxa" w:w="59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33A31"/>
          </w:tcPr>
          <w:p>
            <w:pPr>
              <w:spacing w:before="0" w:after="40" w:line="252" w:lineRule="auto"/>
            </w:pPr>
            <w:r>
              <w:rPr>
                <w:rFonts w:ascii="Aptos" w:hAnsi="Aptos"/>
                <w:b/>
                <w:i w:val="0"/>
                <w:color w:val="FFFFFF"/>
                <w:sz w:val="17"/>
              </w:rPr>
              <w:t>Usage recommandé</w:t>
            </w:r>
          </w:p>
        </w:tc>
        <w:tc>
          <w:tcPr>
            <w:tcW w:type="dxa" w:w="12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33A31"/>
          </w:tcPr>
          <w:p>
            <w:pPr>
              <w:spacing w:before="0" w:after="40" w:line="252" w:lineRule="auto"/>
            </w:pPr>
            <w:r>
              <w:rPr>
                <w:rFonts w:ascii="Aptos" w:hAnsi="Aptos"/>
                <w:b/>
                <w:i w:val="0"/>
                <w:color w:val="FFFFFF"/>
                <w:sz w:val="17"/>
              </w:rPr>
              <w:t>Aperçu</w:t>
            </w:r>
          </w:p>
        </w:tc>
      </w:tr>
      <w:tr>
        <w:tc>
          <w:tcPr>
            <w:tcW w:type="dxa" w:w="165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Vert profond</w:t>
            </w:r>
          </w:p>
        </w:tc>
        <w:tc>
          <w:tcPr>
            <w:tcW w:type="dxa" w:w="122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#101C19</w:t>
            </w:r>
          </w:p>
        </w:tc>
        <w:tc>
          <w:tcPr>
            <w:tcW w:type="dxa" w:w="59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Structure, logo principal, navigation et surfaces fortes</w:t>
            </w:r>
          </w:p>
        </w:tc>
        <w:tc>
          <w:tcPr>
            <w:tcW w:type="dxa" w:w="1296"/>
            <w:shd w:fill="101C19"/>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jc w:val="center"/>
            </w:pPr>
            <w:r>
              <w:rPr>
                <w:rFonts w:ascii="Aptos" w:hAnsi="Aptos"/>
                <w:b w:val="0"/>
                <w:i w:val="0"/>
                <w:color w:val="161814"/>
                <w:sz w:val="18"/>
              </w:rPr>
            </w:r>
            <w:r>
              <w:rPr>
                <w:rFonts w:ascii="Aptos" w:hAnsi="Aptos"/>
                <w:b w:val="0"/>
                <w:i w:val="0"/>
                <w:color w:val="161814"/>
                <w:sz w:val="18"/>
              </w:rPr>
              <w:t>VIPCAR</w:t>
            </w:r>
          </w:p>
        </w:tc>
      </w:tr>
      <w:tr>
        <w:tc>
          <w:tcPr>
            <w:tcW w:type="dxa" w:w="165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Vert VIPCAR</w:t>
            </w:r>
          </w:p>
        </w:tc>
        <w:tc>
          <w:tcPr>
            <w:tcW w:type="dxa" w:w="122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#133A31</w:t>
            </w:r>
          </w:p>
        </w:tc>
        <w:tc>
          <w:tcPr>
            <w:tcW w:type="dxa" w:w="59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Sections éditoriales, actions secondaires et repères de confiance</w:t>
            </w:r>
          </w:p>
        </w:tc>
        <w:tc>
          <w:tcPr>
            <w:tcW w:type="dxa" w:w="1296"/>
            <w:shd w:fill="133A31"/>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jc w:val="center"/>
            </w:pPr>
            <w:r>
              <w:rPr>
                <w:rFonts w:ascii="Aptos" w:hAnsi="Aptos"/>
                <w:b w:val="0"/>
                <w:i w:val="0"/>
                <w:color w:val="161814"/>
                <w:sz w:val="18"/>
              </w:rPr>
            </w:r>
            <w:r>
              <w:rPr>
                <w:rFonts w:ascii="Aptos" w:hAnsi="Aptos"/>
                <w:b w:val="0"/>
                <w:i w:val="0"/>
                <w:color w:val="161814"/>
                <w:sz w:val="18"/>
              </w:rPr>
              <w:t>VIPCAR</w:t>
            </w:r>
          </w:p>
        </w:tc>
      </w:tr>
      <w:tr>
        <w:tc>
          <w:tcPr>
            <w:tcW w:type="dxa" w:w="165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Terracotta</w:t>
            </w:r>
          </w:p>
        </w:tc>
        <w:tc>
          <w:tcPr>
            <w:tcW w:type="dxa" w:w="122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#DF432B</w:t>
            </w:r>
          </w:p>
        </w:tc>
        <w:tc>
          <w:tcPr>
            <w:tcW w:type="dxa" w:w="59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Accent de marque, appels à l'action et détail du symbole</w:t>
            </w:r>
          </w:p>
        </w:tc>
        <w:tc>
          <w:tcPr>
            <w:tcW w:type="dxa" w:w="1296"/>
            <w:shd w:fill="DF432B"/>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jc w:val="center"/>
            </w:pPr>
            <w:r>
              <w:rPr>
                <w:rFonts w:ascii="Aptos" w:hAnsi="Aptos"/>
                <w:b w:val="0"/>
                <w:i w:val="0"/>
                <w:color w:val="161814"/>
                <w:sz w:val="18"/>
              </w:rPr>
            </w:r>
            <w:r>
              <w:rPr>
                <w:rFonts w:ascii="Aptos" w:hAnsi="Aptos"/>
                <w:b w:val="0"/>
                <w:i w:val="0"/>
                <w:color w:val="161814"/>
                <w:sz w:val="18"/>
              </w:rPr>
              <w:t>VIPCAR</w:t>
            </w:r>
          </w:p>
        </w:tc>
      </w:tr>
      <w:tr>
        <w:tc>
          <w:tcPr>
            <w:tcW w:type="dxa" w:w="165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Or doux</w:t>
            </w:r>
          </w:p>
        </w:tc>
        <w:tc>
          <w:tcPr>
            <w:tcW w:type="dxa" w:w="122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#B48A46</w:t>
            </w:r>
          </w:p>
        </w:tc>
        <w:tc>
          <w:tcPr>
            <w:tcW w:type="dxa" w:w="59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Accent premium, pictogrammes et surlignages</w:t>
            </w:r>
          </w:p>
        </w:tc>
        <w:tc>
          <w:tcPr>
            <w:tcW w:type="dxa" w:w="1296"/>
            <w:shd w:fill="B48A4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jc w:val="center"/>
            </w:pPr>
            <w:r>
              <w:rPr>
                <w:rFonts w:ascii="Aptos" w:hAnsi="Aptos"/>
                <w:b w:val="0"/>
                <w:i w:val="0"/>
                <w:color w:val="161814"/>
                <w:sz w:val="18"/>
              </w:rPr>
            </w:r>
            <w:r>
              <w:rPr>
                <w:rFonts w:ascii="Aptos" w:hAnsi="Aptos"/>
                <w:b w:val="0"/>
                <w:i w:val="0"/>
                <w:color w:val="161814"/>
                <w:sz w:val="18"/>
              </w:rPr>
              <w:t>VIPCAR</w:t>
            </w:r>
          </w:p>
        </w:tc>
      </w:tr>
      <w:tr>
        <w:tc>
          <w:tcPr>
            <w:tcW w:type="dxa" w:w="165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Papier</w:t>
            </w:r>
          </w:p>
        </w:tc>
        <w:tc>
          <w:tcPr>
            <w:tcW w:type="dxa" w:w="122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#F7F5EF</w:t>
            </w:r>
          </w:p>
        </w:tc>
        <w:tc>
          <w:tcPr>
            <w:tcW w:type="dxa" w:w="597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Fond principal et espaces de respiration</w:t>
            </w:r>
          </w:p>
        </w:tc>
        <w:tc>
          <w:tcPr>
            <w:tcW w:type="dxa" w:w="1296"/>
            <w:shd w:fill="F7F5EF"/>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r>
          </w:p>
        </w:tc>
      </w:tr>
    </w:tbl>
    <w:p>
      <w:r>
        <w:br w:type="page"/>
      </w:r>
    </w:p>
    <w:p>
      <w:pPr>
        <w:spacing w:before="80" w:after="100" w:line="240" w:lineRule="auto"/>
      </w:pPr>
      <w:r>
        <w:rPr>
          <w:rFonts w:ascii="Aptos" w:hAnsi="Aptos"/>
          <w:b/>
          <w:i w:val="0"/>
          <w:color w:val="DF432B"/>
          <w:sz w:val="16"/>
        </w:rPr>
        <w:t>SYSTÈME DE MARQUE</w:t>
      </w:r>
    </w:p>
    <w:p>
      <w:pPr>
        <w:pStyle w:val="Heading1"/>
        <w:keepNext/>
        <w:spacing w:before="80" w:after="200" w:line="245" w:lineRule="auto"/>
      </w:pPr>
      <w:r>
        <w:rPr>
          <w:rFonts w:ascii="Georgia" w:hAnsi="Georgia"/>
          <w:b w:val="0"/>
          <w:i w:val="0"/>
          <w:color w:val="000000"/>
          <w:sz w:val="48"/>
        </w:rPr>
        <w:t>Règles d utilisation</w:t>
      </w:r>
    </w:p>
    <w:p>
      <w:pPr>
        <w:pStyle w:val="Heading2"/>
        <w:keepNext/>
        <w:spacing w:before="240" w:after="100" w:line="252" w:lineRule="auto"/>
      </w:pPr>
      <w:r>
        <w:rPr>
          <w:rFonts w:ascii="Georgia" w:hAnsi="Georgia"/>
          <w:b w:val="0"/>
          <w:i w:val="0"/>
          <w:color w:val="000000"/>
          <w:sz w:val="30"/>
        </w:rPr>
        <w:t>Logotype</w:t>
      </w:r>
    </w:p>
    <w:p>
      <w:pPr>
        <w:pStyle w:val="ListBullet"/>
        <w:spacing w:before="0" w:after="80" w:line="264" w:lineRule="auto"/>
      </w:pPr>
      <w:r>
        <w:rPr>
          <w:rFonts w:ascii="Aptos" w:hAnsi="Aptos"/>
          <w:b/>
          <w:i w:val="0"/>
          <w:color w:val="161814"/>
          <w:sz w:val="20"/>
        </w:rPr>
        <w:t xml:space="preserve">Toujours conserver : </w:t>
      </w:r>
      <w:r>
        <w:rPr>
          <w:rFonts w:ascii="Aptos" w:hAnsi="Aptos"/>
          <w:b w:val="0"/>
          <w:i w:val="0"/>
          <w:color w:val="161814"/>
          <w:sz w:val="20"/>
        </w:rPr>
        <w:t>les proportions, l espace libre et la version horizontale du logotype.</w:t>
      </w:r>
    </w:p>
    <w:p>
      <w:pPr>
        <w:pStyle w:val="ListBullet"/>
        <w:spacing w:before="0" w:after="80" w:line="264" w:lineRule="auto"/>
      </w:pPr>
      <w:r>
        <w:rPr>
          <w:rFonts w:ascii="Aptos" w:hAnsi="Aptos"/>
          <w:b/>
          <w:i w:val="0"/>
          <w:color w:val="161814"/>
          <w:sz w:val="20"/>
        </w:rPr>
        <w:t xml:space="preserve">Sur fond clair : </w:t>
      </w:r>
      <w:r>
        <w:rPr>
          <w:rFonts w:ascii="Aptos" w:hAnsi="Aptos"/>
          <w:b w:val="0"/>
          <w:i w:val="0"/>
          <w:color w:val="161814"/>
          <w:sz w:val="20"/>
        </w:rPr>
        <w:t>utiliser la version principale avec le mot VIPCAR en vert profond.</w:t>
      </w:r>
    </w:p>
    <w:p>
      <w:pPr>
        <w:pStyle w:val="ListBullet"/>
        <w:spacing w:before="0" w:after="80" w:line="264" w:lineRule="auto"/>
      </w:pPr>
      <w:r>
        <w:rPr>
          <w:rFonts w:ascii="Aptos" w:hAnsi="Aptos"/>
          <w:b/>
          <w:i w:val="0"/>
          <w:color w:val="161814"/>
          <w:sz w:val="20"/>
        </w:rPr>
        <w:t xml:space="preserve">Sur fond foncé : </w:t>
      </w:r>
      <w:r>
        <w:rPr>
          <w:rFonts w:ascii="Aptos" w:hAnsi="Aptos"/>
          <w:b w:val="0"/>
          <w:i w:val="0"/>
          <w:color w:val="161814"/>
          <w:sz w:val="20"/>
        </w:rPr>
        <w:t>utiliser la version reverse transparente; ne pas ajouter de panneau crème autour du logo.</w:t>
      </w:r>
    </w:p>
    <w:p>
      <w:pPr>
        <w:pStyle w:val="ListBullet"/>
        <w:spacing w:before="0" w:after="80" w:line="264" w:lineRule="auto"/>
      </w:pPr>
      <w:r>
        <w:rPr>
          <w:rFonts w:ascii="Aptos" w:hAnsi="Aptos"/>
          <w:b/>
          <w:i w:val="0"/>
          <w:color w:val="161814"/>
          <w:sz w:val="20"/>
        </w:rPr>
        <w:t xml:space="preserve">À éviter : </w:t>
      </w:r>
      <w:r>
        <w:rPr>
          <w:rFonts w:ascii="Aptos" w:hAnsi="Aptos"/>
          <w:b w:val="0"/>
          <w:i w:val="0"/>
          <w:color w:val="161814"/>
          <w:sz w:val="20"/>
        </w:rPr>
        <w:t>étirer le logo, le recolorer intégralement, ajouter une ombre lourde, recréer une baseline ou placer le symbole dans un espace trop serré.</w:t>
      </w:r>
    </w:p>
    <w:p>
      <w:pPr>
        <w:pStyle w:val="Heading2"/>
        <w:keepNext/>
        <w:spacing w:before="240" w:after="100" w:line="252" w:lineRule="auto"/>
      </w:pPr>
      <w:r>
        <w:rPr>
          <w:rFonts w:ascii="Georgia" w:hAnsi="Georgia"/>
          <w:b w:val="0"/>
          <w:i w:val="0"/>
          <w:color w:val="000000"/>
          <w:sz w:val="30"/>
        </w:rPr>
        <w:t>Typographie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33A31"/>
          </w:tcPr>
          <w:p>
            <w:pPr>
              <w:spacing w:before="0" w:after="40" w:line="252" w:lineRule="auto"/>
            </w:pPr>
            <w:r>
              <w:rPr>
                <w:rFonts w:ascii="Aptos" w:hAnsi="Aptos"/>
                <w:b/>
                <w:i w:val="0"/>
                <w:color w:val="FFFFFF"/>
                <w:sz w:val="17"/>
              </w:rPr>
              <w:t>Famille</w:t>
            </w:r>
          </w:p>
        </w:tc>
        <w:tc>
          <w:tcPr>
            <w:tcW w:type="dxa" w:w="20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33A31"/>
          </w:tcPr>
          <w:p>
            <w:pPr>
              <w:spacing w:before="0" w:after="40" w:line="252" w:lineRule="auto"/>
            </w:pPr>
            <w:r>
              <w:rPr>
                <w:rFonts w:ascii="Aptos" w:hAnsi="Aptos"/>
                <w:b/>
                <w:i w:val="0"/>
                <w:color w:val="FFFFFF"/>
                <w:sz w:val="17"/>
              </w:rPr>
              <w:t>Rôle</w:t>
            </w:r>
          </w:p>
        </w:tc>
        <w:tc>
          <w:tcPr>
            <w:tcW w:type="dxa" w:w="48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33A31"/>
          </w:tcPr>
          <w:p>
            <w:pPr>
              <w:spacing w:before="0" w:after="40" w:line="252" w:lineRule="auto"/>
            </w:pPr>
            <w:r>
              <w:rPr>
                <w:rFonts w:ascii="Aptos" w:hAnsi="Aptos"/>
                <w:b/>
                <w:i w:val="0"/>
                <w:color w:val="FFFFFF"/>
                <w:sz w:val="17"/>
              </w:rPr>
              <w:t>Règle d'application</w:t>
            </w:r>
          </w:p>
        </w:tc>
      </w:tr>
      <w:tr>
        <w:tc>
          <w:tcPr>
            <w:tcW w:type="dxa" w:w="31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Georgia" w:hAnsi="Georgia"/>
                <w:b/>
                <w:i w:val="0"/>
                <w:color w:val="101C19"/>
                <w:sz w:val="18"/>
              </w:rPr>
              <w:t>DM Serif Display / Georgia</w:t>
            </w:r>
          </w:p>
        </w:tc>
        <w:tc>
          <w:tcPr>
            <w:tcW w:type="dxa" w:w="20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Titres éditoriaux</w:t>
            </w:r>
          </w:p>
        </w:tc>
        <w:tc>
          <w:tcPr>
            <w:tcW w:type="dxa" w:w="48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Créer une hiérarchie premium, calme et lisible.</w:t>
            </w:r>
          </w:p>
        </w:tc>
      </w:tr>
      <w:tr>
        <w:tc>
          <w:tcPr>
            <w:tcW w:type="dxa" w:w="31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i w:val="0"/>
                <w:color w:val="101C19"/>
                <w:sz w:val="18"/>
              </w:rPr>
              <w:t>Manrope / DM Sans</w:t>
            </w:r>
          </w:p>
        </w:tc>
        <w:tc>
          <w:tcPr>
            <w:tcW w:type="dxa" w:w="20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Interface et textes</w:t>
            </w:r>
          </w:p>
        </w:tc>
        <w:tc>
          <w:tcPr>
            <w:tcW w:type="dxa" w:w="48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Utiliser pour les menus, formulaires, métadonnées et corps de texte.</w:t>
            </w:r>
          </w:p>
        </w:tc>
      </w:tr>
      <w:tr>
        <w:tc>
          <w:tcPr>
            <w:tcW w:type="dxa" w:w="31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i w:val="0"/>
                <w:color w:val="101C19"/>
                <w:sz w:val="18"/>
              </w:rPr>
              <w:t>Capitales espacées</w:t>
            </w:r>
          </w:p>
        </w:tc>
        <w:tc>
          <w:tcPr>
            <w:tcW w:type="dxa" w:w="208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Labels et repères</w:t>
            </w:r>
          </w:p>
        </w:tc>
        <w:tc>
          <w:tcPr>
            <w:tcW w:type="dxa" w:w="489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Réserver aux sur-titres, statuts, catégories et informations courtes.</w:t>
            </w:r>
          </w:p>
        </w:tc>
      </w:tr>
    </w:tbl>
    <w:p>
      <w:pPr>
        <w:pStyle w:val="Heading2"/>
        <w:keepNext/>
        <w:spacing w:before="240" w:after="100" w:line="252" w:lineRule="auto"/>
      </w:pPr>
      <w:r>
        <w:rPr>
          <w:rFonts w:ascii="Georgia" w:hAnsi="Georgia"/>
          <w:b w:val="0"/>
          <w:i w:val="0"/>
          <w:color w:val="000000"/>
          <w:sz w:val="30"/>
        </w:rPr>
        <w:t>Direction photographique</w:t>
      </w:r>
    </w:p>
    <w:p>
      <w:pPr>
        <w:spacing w:before="0" w:after="160" w:line="283" w:lineRule="auto"/>
      </w:pPr>
      <w:r>
        <w:rPr>
          <w:rFonts w:ascii="Aptos" w:hAnsi="Aptos"/>
          <w:b w:val="0"/>
          <w:i w:val="0"/>
          <w:color w:val="161814"/>
          <w:sz w:val="21"/>
        </w:rPr>
        <w:t>Privilégier des images de routes tunisiennes, de véhicules réels, d arrivées aux aéroports, de paysages et de détails de service. La lumière doit rester naturelle, avec une composition aérée et une sensation de trajet maîtrisé. Éviter les images trop génériques, surchargées ou artificiellement luxueuses.</w:t>
      </w:r>
    </w:p>
    <w:p>
      <w:pPr>
        <w:pStyle w:val="Heading2"/>
        <w:keepNext/>
        <w:spacing w:before="240" w:after="100" w:line="252" w:lineRule="auto"/>
      </w:pPr>
      <w:r>
        <w:rPr>
          <w:rFonts w:ascii="Georgia" w:hAnsi="Georgia"/>
          <w:b w:val="0"/>
          <w:i w:val="0"/>
          <w:color w:val="000000"/>
          <w:sz w:val="30"/>
        </w:rPr>
        <w:t>Applications actuelles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33A31"/>
          </w:tcPr>
          <w:p>
            <w:pPr>
              <w:spacing w:before="0" w:after="40" w:line="252" w:lineRule="auto"/>
            </w:pPr>
            <w:r>
              <w:rPr>
                <w:rFonts w:ascii="Aptos" w:hAnsi="Aptos"/>
                <w:b/>
                <w:i w:val="0"/>
                <w:color w:val="FFFFFF"/>
                <w:sz w:val="17"/>
              </w:rPr>
              <w:t>Support</w:t>
            </w:r>
          </w:p>
        </w:tc>
        <w:tc>
          <w:tcPr>
            <w:tcW w:type="dxa" w:w="633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33A31"/>
          </w:tcPr>
          <w:p>
            <w:pPr>
              <w:spacing w:before="0" w:after="40" w:line="252" w:lineRule="auto"/>
            </w:pPr>
            <w:r>
              <w:rPr>
                <w:rFonts w:ascii="Aptos" w:hAnsi="Aptos"/>
                <w:b/>
                <w:i w:val="0"/>
                <w:color w:val="FFFFFF"/>
                <w:sz w:val="17"/>
              </w:rPr>
              <w:t>Traitement</w:t>
            </w:r>
          </w:p>
        </w:tc>
        <w:tc>
          <w:tcPr>
            <w:tcW w:type="dxa" w:w="216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33A31"/>
          </w:tcPr>
          <w:p>
            <w:pPr>
              <w:spacing w:before="0" w:after="40" w:line="252" w:lineRule="auto"/>
            </w:pPr>
            <w:r>
              <w:rPr>
                <w:rFonts w:ascii="Aptos" w:hAnsi="Aptos"/>
                <w:b/>
                <w:i w:val="0"/>
                <w:color w:val="FFFFFF"/>
                <w:sz w:val="17"/>
              </w:rPr>
              <w:t>Statut</w:t>
            </w:r>
          </w:p>
        </w:tc>
      </w:tr>
      <w:tr>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Header public</w:t>
            </w:r>
          </w:p>
        </w:tc>
        <w:tc>
          <w:tcPr>
            <w:tcW w:type="dxa" w:w="633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Logo horizontal principal, dimension responsive, navigation dégagée.</w:t>
            </w:r>
          </w:p>
        </w:tc>
        <w:tc>
          <w:tcPr>
            <w:tcW w:type="dxa" w:w="216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Intégré</w:t>
            </w:r>
          </w:p>
        </w:tc>
      </w:tr>
      <w:tr>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Footer public</w:t>
            </w:r>
          </w:p>
        </w:tc>
        <w:tc>
          <w:tcPr>
            <w:tcW w:type="dxa" w:w="633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Logo horizontal reverse transparent sur fond vert profond.</w:t>
            </w:r>
          </w:p>
        </w:tc>
        <w:tc>
          <w:tcPr>
            <w:tcW w:type="dxa" w:w="216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Intégré</w:t>
            </w:r>
          </w:p>
        </w:tc>
      </w:tr>
      <w:tr>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Backoffice</w:t>
            </w:r>
          </w:p>
        </w:tc>
        <w:tc>
          <w:tcPr>
            <w:tcW w:type="dxa" w:w="633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Logo principal sur support clair et badge Ops.</w:t>
            </w:r>
          </w:p>
        </w:tc>
        <w:tc>
          <w:tcPr>
            <w:tcW w:type="dxa" w:w="216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Intégré</w:t>
            </w:r>
          </w:p>
        </w:tc>
      </w:tr>
      <w:tr>
        <w:tc>
          <w:tcPr>
            <w:tcW w:type="dxa" w:w="19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Navigateur</w:t>
            </w:r>
          </w:p>
        </w:tc>
        <w:tc>
          <w:tcPr>
            <w:tcW w:type="dxa" w:w="633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Favicon mark seul en SVG.</w:t>
            </w:r>
          </w:p>
        </w:tc>
        <w:tc>
          <w:tcPr>
            <w:tcW w:type="dxa" w:w="216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40" w:line="252" w:lineRule="auto"/>
            </w:pPr>
            <w:r>
              <w:rPr>
                <w:rFonts w:ascii="Aptos" w:hAnsi="Aptos"/>
                <w:b w:val="0"/>
                <w:i w:val="0"/>
                <w:color w:val="161814"/>
                <w:sz w:val="18"/>
              </w:rPr>
              <w:t>Intégré</w:t>
            </w:r>
          </w:p>
        </w:tc>
      </w:tr>
    </w:tbl>
    <w:p>
      <w:r>
        <w:br w:type="page"/>
      </w:r>
    </w:p>
    <w:p>
      <w:pPr>
        <w:spacing w:before="80" w:after="100" w:line="240" w:lineRule="auto"/>
      </w:pPr>
      <w:r>
        <w:rPr>
          <w:rFonts w:ascii="Aptos" w:hAnsi="Aptos"/>
          <w:b/>
          <w:i w:val="0"/>
          <w:color w:val="DF432B"/>
          <w:sz w:val="16"/>
        </w:rPr>
        <w:t>SUITE DU PROJET</w:t>
      </w:r>
    </w:p>
    <w:p>
      <w:pPr>
        <w:pStyle w:val="Heading1"/>
        <w:keepNext/>
        <w:spacing w:before="80" w:after="200" w:line="245" w:lineRule="auto"/>
      </w:pPr>
      <w:r>
        <w:rPr>
          <w:rFonts w:ascii="Georgia" w:hAnsi="Georgia"/>
          <w:b w:val="0"/>
          <w:i w:val="0"/>
          <w:color w:val="000000"/>
          <w:sz w:val="48"/>
        </w:rPr>
        <w:t>Prochaines étapes recommandées</w:t>
      </w:r>
    </w:p>
    <w:p>
      <w:pPr>
        <w:pStyle w:val="Heading2"/>
        <w:keepNext/>
        <w:spacing w:before="240" w:after="100" w:line="252" w:lineRule="auto"/>
      </w:pPr>
      <w:r>
        <w:rPr>
          <w:rFonts w:ascii="Georgia" w:hAnsi="Georgia"/>
          <w:b w:val="0"/>
          <w:i w:val="0"/>
          <w:color w:val="000000"/>
          <w:sz w:val="30"/>
        </w:rPr>
        <w:t>Priorité produit</w:t>
      </w:r>
    </w:p>
    <w:p>
      <w:pPr>
        <w:pStyle w:val="ListBullet"/>
        <w:spacing w:before="0" w:after="80" w:line="264" w:lineRule="auto"/>
      </w:pPr>
      <w:r>
        <w:rPr>
          <w:rFonts w:ascii="Aptos" w:hAnsi="Aptos"/>
          <w:b/>
          <w:i w:val="0"/>
          <w:color w:val="161814"/>
          <w:sz w:val="20"/>
        </w:rPr>
        <w:t xml:space="preserve">Finaliser les comptes clients : </w:t>
      </w:r>
      <w:r>
        <w:rPr>
          <w:rFonts w:ascii="Aptos" w:hAnsi="Aptos"/>
          <w:b w:val="0"/>
          <w:i w:val="0"/>
          <w:color w:val="161814"/>
          <w:sz w:val="20"/>
        </w:rPr>
        <w:t>réservations personnelles, rattachement des demandes connectées et comptes entreprise complets.</w:t>
      </w:r>
    </w:p>
    <w:p>
      <w:pPr>
        <w:pStyle w:val="ListBullet"/>
        <w:spacing w:before="0" w:after="80" w:line="264" w:lineRule="auto"/>
      </w:pPr>
      <w:r>
        <w:rPr>
          <w:rFonts w:ascii="Aptos" w:hAnsi="Aptos"/>
          <w:b/>
          <w:i w:val="0"/>
          <w:color w:val="161814"/>
          <w:sz w:val="20"/>
        </w:rPr>
        <w:t xml:space="preserve">Construire l espace réservation staff : </w:t>
      </w:r>
      <w:r>
        <w:rPr>
          <w:rFonts w:ascii="Aptos" w:hAnsi="Aptos"/>
          <w:b w:val="0"/>
          <w:i w:val="0"/>
          <w:color w:val="161814"/>
          <w:sz w:val="20"/>
        </w:rPr>
        <w:t>inbox par statut, recherche, filtres, timeline et vue consolidée de chaque demande.</w:t>
      </w:r>
    </w:p>
    <w:p>
      <w:pPr>
        <w:pStyle w:val="ListBullet"/>
        <w:spacing w:before="0" w:after="80" w:line="264" w:lineRule="auto"/>
      </w:pPr>
      <w:r>
        <w:rPr>
          <w:rFonts w:ascii="Aptos" w:hAnsi="Aptos"/>
          <w:b/>
          <w:i w:val="0"/>
          <w:color w:val="161814"/>
          <w:sz w:val="20"/>
        </w:rPr>
        <w:t xml:space="preserve">Relier flotte et dispatch : </w:t>
      </w:r>
      <w:r>
        <w:rPr>
          <w:rFonts w:ascii="Aptos" w:hAnsi="Aptos"/>
          <w:b w:val="0"/>
          <w:i w:val="0"/>
          <w:color w:val="161814"/>
          <w:sz w:val="20"/>
        </w:rPr>
        <w:t>disponibilité par période, affectation d unité, conducteur et mise à jour des statuts.</w:t>
      </w:r>
    </w:p>
    <w:p>
      <w:pPr>
        <w:pStyle w:val="Heading2"/>
        <w:keepNext/>
        <w:spacing w:before="240" w:after="100" w:line="252" w:lineRule="auto"/>
      </w:pPr>
      <w:r>
        <w:rPr>
          <w:rFonts w:ascii="Georgia" w:hAnsi="Georgia"/>
          <w:b w:val="0"/>
          <w:i w:val="0"/>
          <w:color w:val="000000"/>
          <w:sz w:val="30"/>
        </w:rPr>
        <w:t>Priorité qualité et mise en ligne</w:t>
      </w:r>
    </w:p>
    <w:p>
      <w:pPr>
        <w:pStyle w:val="ListBullet"/>
        <w:spacing w:before="0" w:after="80" w:line="264" w:lineRule="auto"/>
      </w:pPr>
      <w:r>
        <w:rPr>
          <w:rFonts w:ascii="Aptos" w:hAnsi="Aptos"/>
          <w:b/>
          <w:i w:val="0"/>
          <w:color w:val="161814"/>
          <w:sz w:val="20"/>
        </w:rPr>
        <w:t xml:space="preserve">Valider la marque : </w:t>
      </w:r>
      <w:r>
        <w:rPr>
          <w:rFonts w:ascii="Aptos" w:hAnsi="Aptos"/>
          <w:b w:val="0"/>
          <w:i w:val="0"/>
          <w:color w:val="161814"/>
          <w:sz w:val="20"/>
        </w:rPr>
        <w:t>confirmer le logotype horizontal, la version reverse, le favicon et les règles de contraste.</w:t>
      </w:r>
    </w:p>
    <w:p>
      <w:pPr>
        <w:pStyle w:val="ListBullet"/>
        <w:spacing w:before="0" w:after="80" w:line="264" w:lineRule="auto"/>
      </w:pPr>
      <w:r>
        <w:rPr>
          <w:rFonts w:ascii="Aptos" w:hAnsi="Aptos"/>
          <w:b/>
          <w:i w:val="0"/>
          <w:color w:val="161814"/>
          <w:sz w:val="20"/>
        </w:rPr>
        <w:t xml:space="preserve">Préparer la production : </w:t>
      </w:r>
      <w:r>
        <w:rPr>
          <w:rFonts w:ascii="Aptos" w:hAnsi="Aptos"/>
          <w:b w:val="0"/>
          <w:i w:val="0"/>
          <w:color w:val="161814"/>
          <w:sz w:val="20"/>
        </w:rPr>
        <w:t>renseigner les variables d environnement, connecter PostgreSQL, Redis, NATS et les fournisseurs de paiement avec leurs secrets hors dépôt.</w:t>
      </w:r>
    </w:p>
    <w:p>
      <w:pPr>
        <w:pStyle w:val="ListBullet"/>
        <w:spacing w:before="0" w:after="80" w:line="264" w:lineRule="auto"/>
      </w:pPr>
      <w:r>
        <w:rPr>
          <w:rFonts w:ascii="Aptos" w:hAnsi="Aptos"/>
          <w:b/>
          <w:i w:val="0"/>
          <w:color w:val="161814"/>
          <w:sz w:val="20"/>
        </w:rPr>
        <w:t xml:space="preserve">Recette finale : </w:t>
      </w:r>
      <w:r>
        <w:rPr>
          <w:rFonts w:ascii="Aptos" w:hAnsi="Aptos"/>
          <w:b w:val="0"/>
          <w:i w:val="0"/>
          <w:color w:val="161814"/>
          <w:sz w:val="20"/>
        </w:rPr>
        <w:t>tester les parcours EN/FR, mobile, demande invitée, compte client, confirmation staff, annulation et notifications.</w:t>
      </w:r>
    </w:p>
    <w:p>
      <w:pPr>
        <w:pStyle w:val="Heading2"/>
        <w:keepNext/>
        <w:spacing w:before="240" w:after="100" w:line="252" w:lineRule="auto"/>
      </w:pPr>
      <w:r>
        <w:rPr>
          <w:rFonts w:ascii="Georgia" w:hAnsi="Georgia"/>
          <w:b w:val="0"/>
          <w:i w:val="0"/>
          <w:color w:val="000000"/>
          <w:sz w:val="30"/>
        </w:rPr>
        <w:t>Conclusion</w:t>
      </w:r>
    </w:p>
    <w:p>
      <w:pPr>
        <w:spacing w:before="0" w:after="160" w:line="283" w:lineRule="auto"/>
      </w:pPr>
      <w:r>
        <w:rPr>
          <w:rFonts w:ascii="Aptos" w:hAnsi="Aptos"/>
          <w:b w:val="0"/>
          <w:i w:val="0"/>
          <w:color w:val="161814"/>
          <w:sz w:val="21"/>
        </w:rPr>
        <w:t>VIPCAR dispose d une fondation produit solide et d un parcours public désormais relié à l opérationnel. La nouvelle charte graphique apporte une expression plus cohérente entre le site, le footer, le favicon et le backoffice. La validation client de cette identité permet d enchaîner sur la consolidation de l espace de réservation et la préparation de la mise en production.</w:t>
      </w:r>
    </w:p>
    <w:p>
      <w:pPr>
        <w:spacing w:before="0" w:after="0" w:line="283" w:lineRule="auto"/>
      </w:pPr>
      <w:r>
        <w:rPr>
          <w:rFonts w:ascii="Aptos" w:hAnsi="Aptos"/>
          <w:b w:val="0"/>
          <w:i w:val="0"/>
          <w:color w:val="161814"/>
          <w:sz w:val="21"/>
        </w:rPr>
        <w:t>Document préparé pour le suivi client VIPCAR.</w:t>
      </w:r>
    </w:p>
    <w:sectPr w:rsidR="00FC693F" w:rsidRPr="0006063C" w:rsidSect="00034616">
      <w:headerReference w:type="default" r:id="rId9"/>
      <w:footerReference w:type="default" r:id="rId10"/>
      <w:pgSz w:w="12240" w:h="15840"/>
      <w:pgMar w:top="1037"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ptos" w:hAnsi="Aptos"/>
        <w:b w:val="0"/>
        <w:i w:val="0"/>
        <w:color w:val="6D7068"/>
        <w:sz w:val="15"/>
      </w:rPr>
      <w:t>VIPCAR  |  Etat du projet au 07 septembre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2016"/>
      <w:gridCol w:w="8064"/>
    </w:tblGrid>
    <w:tr>
      <w:tc>
        <w:tcPr>
          <w:tcW w:type="dxa" w:w="504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0" w:type="dxa"/>
            <w:start w:w="0" w:type="dxa"/>
            <w:bottom w:w="0" w:type="dxa"/>
            <w:end w:w="0" w:type="dxa"/>
          </w:tcMar>
        </w:tcPr>
        <w:p>
          <w:r>
            <w:drawing>
              <wp:inline xmlns:a="http://schemas.openxmlformats.org/drawingml/2006/main" xmlns:pic="http://schemas.openxmlformats.org/drawingml/2006/picture">
                <wp:extent cx="1051560" cy="236601"/>
                <wp:docPr id="1" name="Picture 1"/>
                <wp:cNvGraphicFramePr>
                  <a:graphicFrameLocks noChangeAspect="1"/>
                </wp:cNvGraphicFramePr>
                <a:graphic>
                  <a:graphicData uri="http://schemas.openxmlformats.org/drawingml/2006/picture">
                    <pic:pic>
                      <pic:nvPicPr>
                        <pic:cNvPr id="0" name="vipcar-logo-primary.png"/>
                        <pic:cNvPicPr/>
                      </pic:nvPicPr>
                      <pic:blipFill>
                        <a:blip r:embed="rId1"/>
                        <a:stretch>
                          <a:fillRect/>
                        </a:stretch>
                      </pic:blipFill>
                      <pic:spPr>
                        <a:xfrm>
                          <a:off x="0" y="0"/>
                          <a:ext cx="1051560" cy="236601"/>
                        </a:xfrm>
                        <a:prstGeom prst="rect"/>
                      </pic:spPr>
                    </pic:pic>
                  </a:graphicData>
                </a:graphic>
              </wp:inline>
            </w:drawing>
          </w:r>
        </w:p>
      </w:tc>
      <w:tc>
        <w:tcPr>
          <w:tcW w:type="dxa" w:w="504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0" w:type="dxa"/>
            <w:start w:w="0" w:type="dxa"/>
            <w:bottom w:w="0" w:type="dxa"/>
            <w:end w:w="0" w:type="dxa"/>
          </w:tcMar>
        </w:tcPr>
        <w:p>
          <w:pPr>
            <w:jc w:val="right"/>
          </w:pPr>
          <w:r>
            <w:rPr>
              <w:rFonts w:ascii="Aptos" w:hAnsi="Aptos"/>
              <w:b/>
              <w:i w:val="0"/>
              <w:color w:val="6D7068"/>
              <w:sz w:val="15"/>
            </w:rPr>
            <w:t>RAPPORT CLIENT  |  VIPCAR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618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val="0"/>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val="0"/>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