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一.单选题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 w:cs="仿宋"/>
        </w:rPr>
        <w:t>1.</w:t>
      </w:r>
      <w:r>
        <w:rPr>
          <w:rFonts w:hint="eastAsia" w:ascii="仿宋" w:hAnsi="仿宋" w:eastAsia="仿宋"/>
        </w:rPr>
        <w:t>2019年度</w:t>
      </w:r>
      <w:r>
        <w:rPr>
          <w:rFonts w:ascii="仿宋" w:hAnsi="仿宋" w:eastAsia="仿宋"/>
        </w:rPr>
        <w:t>全局计划模块节点按时完成率</w:t>
      </w:r>
      <w:r>
        <w:rPr>
          <w:rFonts w:hint="eastAsia" w:ascii="仿宋" w:hAnsi="仿宋" w:eastAsia="仿宋"/>
        </w:rPr>
        <w:t>须不</w:t>
      </w:r>
      <w:r>
        <w:rPr>
          <w:rFonts w:ascii="仿宋" w:hAnsi="仿宋" w:eastAsia="仿宋"/>
        </w:rPr>
        <w:t>低于（</w:t>
      </w:r>
      <w:r>
        <w:rPr>
          <w:rFonts w:hint="eastAsia" w:ascii="仿宋" w:hAnsi="仿宋" w:eastAsia="仿宋"/>
        </w:rPr>
        <w:t xml:space="preserve">  </w:t>
      </w:r>
      <w:r>
        <w:rPr>
          <w:rFonts w:ascii="仿宋" w:hAnsi="仿宋" w:eastAsia="仿宋"/>
        </w:rPr>
        <w:t>）</w:t>
      </w:r>
      <w:r>
        <w:rPr>
          <w:rFonts w:hint="eastAsia" w:ascii="仿宋" w:hAnsi="仿宋" w:eastAsia="仿宋"/>
        </w:rPr>
        <w:t>。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A、6</w:t>
      </w:r>
      <w:r>
        <w:rPr>
          <w:rFonts w:ascii="仿宋" w:hAnsi="仿宋" w:eastAsia="仿宋"/>
        </w:rPr>
        <w:t xml:space="preserve">0%    </w:t>
      </w:r>
      <w:r>
        <w:rPr>
          <w:rFonts w:hint="eastAsia" w:ascii="仿宋" w:hAnsi="仿宋" w:eastAsia="仿宋"/>
        </w:rPr>
        <w:t>B、7</w:t>
      </w:r>
      <w:r>
        <w:rPr>
          <w:rFonts w:ascii="仿宋" w:hAnsi="仿宋" w:eastAsia="仿宋"/>
        </w:rPr>
        <w:t>0%</w:t>
      </w:r>
      <w:r>
        <w:rPr>
          <w:rFonts w:hint="eastAsia" w:ascii="仿宋" w:hAnsi="仿宋" w:eastAsia="仿宋"/>
        </w:rPr>
        <w:t xml:space="preserve">  </w:t>
      </w:r>
      <w:r>
        <w:rPr>
          <w:rFonts w:hint="eastAsia" w:ascii="仿宋" w:hAnsi="仿宋" w:eastAsia="仿宋"/>
          <w:color w:val="FF0000"/>
        </w:rPr>
        <w:t xml:space="preserve"> C、7</w:t>
      </w:r>
      <w:r>
        <w:rPr>
          <w:rFonts w:ascii="仿宋" w:hAnsi="仿宋" w:eastAsia="仿宋"/>
          <w:color w:val="FF0000"/>
        </w:rPr>
        <w:t xml:space="preserve">5% </w:t>
      </w:r>
      <w:r>
        <w:rPr>
          <w:rFonts w:ascii="仿宋" w:hAnsi="仿宋" w:eastAsia="仿宋"/>
        </w:rPr>
        <w:t xml:space="preserve">  </w:t>
      </w:r>
      <w:r>
        <w:rPr>
          <w:rFonts w:hint="eastAsia" w:ascii="仿宋" w:hAnsi="仿宋" w:eastAsia="仿宋"/>
        </w:rPr>
        <w:t>D、8</w:t>
      </w:r>
      <w:r>
        <w:rPr>
          <w:rFonts w:ascii="仿宋" w:hAnsi="仿宋" w:eastAsia="仿宋"/>
        </w:rPr>
        <w:t>0%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2</w:t>
      </w:r>
      <w:r>
        <w:rPr>
          <w:rFonts w:hint="eastAsia" w:ascii="仿宋" w:hAnsi="仿宋" w:eastAsia="仿宋" w:cs="仿宋"/>
          <w:color w:val="0000FF"/>
        </w:rPr>
        <w:t>.</w:t>
      </w:r>
      <w:r>
        <w:rPr>
          <w:rFonts w:hint="eastAsia" w:ascii="仿宋" w:hAnsi="仿宋" w:eastAsia="仿宋" w:cs="仿宋"/>
        </w:rPr>
        <w:t>做好计划模块管控系统的过程考核，局（分局）每（  ）考核一次，公司.分公司每（  ）考核一次，项目部每（  ）考核一次。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A.季度.月.周.周          </w:t>
      </w:r>
      <w:r>
        <w:rPr>
          <w:rFonts w:hint="eastAsia" w:ascii="仿宋" w:hAnsi="仿宋" w:eastAsia="仿宋" w:cs="仿宋"/>
          <w:color w:val="FF0000"/>
        </w:rPr>
        <w:t xml:space="preserve"> B.季度.月.月.周</w:t>
      </w:r>
    </w:p>
    <w:p>
      <w:pPr>
        <w:spacing w:line="360" w:lineRule="auto"/>
        <w:rPr>
          <w:rFonts w:ascii="仿宋" w:hAnsi="仿宋" w:eastAsia="仿宋" w:cs="仿宋"/>
          <w:color w:val="0000FF"/>
        </w:rPr>
      </w:pPr>
      <w:r>
        <w:rPr>
          <w:rFonts w:hint="eastAsia" w:ascii="仿宋" w:hAnsi="仿宋" w:eastAsia="仿宋" w:cs="仿宋"/>
        </w:rPr>
        <w:t>C.月.月.周.周             D.月.月.周.日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3.推进项目内控计划的信息化建设，积极推行“（  ）级计划.（  ）级节点.（  ）级管控”。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  <w:color w:val="FF0000"/>
        </w:rPr>
        <w:t xml:space="preserve">A.四.三.三 </w:t>
      </w:r>
      <w:r>
        <w:rPr>
          <w:rFonts w:hint="eastAsia" w:ascii="仿宋" w:hAnsi="仿宋" w:eastAsia="仿宋" w:cs="仿宋"/>
        </w:rPr>
        <w:t xml:space="preserve">              B.四.三.二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C.三.三.二               D.三.二.一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4.根据公司下发的关于修订《计划模块管控系统推进工作实施方案》中“激励措施”通知，如果某二级单位的节点按时完成率＞90%且考核得分＞90分，排名前一名的二级单位对书记奖励（  ）元，奖励工程部经理（）元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A.3000.1500        </w:t>
      </w:r>
      <w:r>
        <w:rPr>
          <w:rFonts w:hint="eastAsia" w:ascii="仿宋" w:hAnsi="仿宋" w:eastAsia="仿宋" w:cs="仿宋"/>
          <w:color w:val="FF0000"/>
        </w:rPr>
        <w:t xml:space="preserve">     B.2000.1000</w:t>
      </w:r>
    </w:p>
    <w:p>
      <w:pPr>
        <w:spacing w:line="360" w:lineRule="auto"/>
        <w:rPr>
          <w:rFonts w:ascii="仿宋" w:hAnsi="仿宋" w:eastAsia="仿宋" w:cs="仿宋"/>
          <w:color w:val="0000FF"/>
        </w:rPr>
      </w:pPr>
      <w:r>
        <w:rPr>
          <w:rFonts w:hint="eastAsia" w:ascii="仿宋" w:hAnsi="仿宋" w:eastAsia="仿宋" w:cs="仿宋"/>
        </w:rPr>
        <w:t>C.2000.1500             D.3000.2000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5.根据公司下发的关于修订《计划模块管控系统推进工作实施方案》中“激励措施”通知，若对二级.三级节点审批的检查中发现12个不合规操作审批节点，则处罚审批责任人（  ）元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A.2000    </w:t>
      </w:r>
      <w:r>
        <w:rPr>
          <w:rFonts w:hint="eastAsia" w:ascii="仿宋" w:hAnsi="仿宋" w:eastAsia="仿宋" w:cs="仿宋"/>
          <w:color w:val="FF0000"/>
        </w:rPr>
        <w:t xml:space="preserve"> B.1000      </w:t>
      </w:r>
      <w:r>
        <w:rPr>
          <w:rFonts w:hint="eastAsia" w:ascii="仿宋" w:hAnsi="仿宋" w:eastAsia="仿宋" w:cs="仿宋"/>
        </w:rPr>
        <w:t>C.1500       D.1200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6.局项目管理系统（原计划管控系统）房建类项目分为（  ）类计划模块。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A.10     B.12    </w:t>
      </w:r>
      <w:r>
        <w:rPr>
          <w:rFonts w:hint="eastAsia" w:ascii="仿宋" w:hAnsi="仿宋" w:eastAsia="仿宋" w:cs="仿宋"/>
          <w:color w:val="FF0000"/>
        </w:rPr>
        <w:t xml:space="preserve"> C.13 </w:t>
      </w:r>
      <w:r>
        <w:rPr>
          <w:rFonts w:hint="eastAsia" w:ascii="仿宋" w:hAnsi="仿宋" w:eastAsia="仿宋" w:cs="仿宋"/>
        </w:rPr>
        <w:t xml:space="preserve">   D.14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7.为了适应企业工程总承包管理战略发展需要，2018年初，以计划模块系统为核心，指导推动工程履约，建立全局项目管理大数据库的（  ）进行立项研发。</w:t>
      </w:r>
    </w:p>
    <w:p>
      <w:pPr>
        <w:spacing w:line="360" w:lineRule="auto"/>
        <w:rPr>
          <w:rFonts w:ascii="仿宋" w:hAnsi="仿宋" w:eastAsia="仿宋" w:cs="仿宋"/>
          <w:color w:val="0000FF"/>
        </w:rPr>
      </w:pPr>
      <w:r>
        <w:rPr>
          <w:rFonts w:hint="eastAsia" w:ascii="仿宋" w:hAnsi="仿宋" w:eastAsia="仿宋" w:cs="仿宋"/>
        </w:rPr>
        <w:t xml:space="preserve">A.企业工程总承包管理平台  </w:t>
      </w:r>
      <w:r>
        <w:rPr>
          <w:rFonts w:hint="eastAsia" w:ascii="仿宋" w:hAnsi="仿宋" w:eastAsia="仿宋" w:cs="仿宋"/>
          <w:color w:val="FF0000"/>
        </w:rPr>
        <w:t xml:space="preserve">   B.新版项目管理信息系统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C .中建云系统模块            D .大数据集成中心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8.屋面工程应在施工放线完成后（）天内穿插进行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  <w:color w:val="FF0000"/>
        </w:rPr>
        <w:t>A.10</w:t>
      </w:r>
      <w:r>
        <w:rPr>
          <w:rFonts w:hint="eastAsia" w:ascii="仿宋" w:hAnsi="仿宋" w:eastAsia="仿宋" w:cs="仿宋"/>
        </w:rPr>
        <w:t xml:space="preserve">   B.15   C.20   D.25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9.年度竣工项目合同工期缩短率（≥15%）算法：（  ）</w:t>
      </w:r>
    </w:p>
    <w:p>
      <w:pPr>
        <w:spacing w:line="360" w:lineRule="auto"/>
        <w:rPr>
          <w:rFonts w:ascii="仿宋" w:hAnsi="仿宋" w:eastAsia="仿宋" w:cs="仿宋"/>
          <w:color w:val="FF0000"/>
        </w:rPr>
      </w:pPr>
      <w:r>
        <w:rPr>
          <w:rFonts w:hint="eastAsia" w:ascii="仿宋" w:hAnsi="仿宋" w:eastAsia="仿宋" w:cs="仿宋"/>
          <w:color w:val="FF0000"/>
        </w:rPr>
        <w:t>A.（上一年度竣工项目工期延误率-本年度竣工项目工期延误率）/上一年度竣工项目工期延误率；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B.上一年年度竣工延误天数/总工期天数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C.（上一年度竣工延误天数-本年度竣工延误天数）/总工期天数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D.本年度竣工延误天数/总工期天数</w:t>
      </w:r>
    </w:p>
    <w:p>
      <w:pPr>
        <w:pStyle w:val="15"/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二.多选题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1.《计划模块管控系统推进工作实施方案》的指导思想有（   ）</w:t>
      </w:r>
    </w:p>
    <w:p>
      <w:pPr>
        <w:spacing w:line="360" w:lineRule="auto"/>
        <w:rPr>
          <w:rFonts w:ascii="仿宋" w:hAnsi="仿宋" w:eastAsia="仿宋" w:cs="仿宋"/>
          <w:color w:val="FF0000"/>
        </w:rPr>
      </w:pPr>
      <w:r>
        <w:rPr>
          <w:rFonts w:hint="eastAsia" w:ascii="仿宋" w:hAnsi="仿宋" w:eastAsia="仿宋" w:cs="仿宋"/>
          <w:color w:val="FF0000"/>
        </w:rPr>
        <w:t>A.以工期为履约，计划模块管控系统为抓手</w:t>
      </w:r>
    </w:p>
    <w:p>
      <w:pPr>
        <w:spacing w:line="360" w:lineRule="auto"/>
        <w:rPr>
          <w:rFonts w:ascii="仿宋" w:hAnsi="仿宋" w:eastAsia="仿宋" w:cs="仿宋"/>
          <w:color w:val="FF0000"/>
        </w:rPr>
      </w:pPr>
      <w:r>
        <w:rPr>
          <w:rFonts w:hint="eastAsia" w:ascii="仿宋" w:hAnsi="仿宋" w:eastAsia="仿宋" w:cs="仿宋"/>
          <w:color w:val="FF0000"/>
        </w:rPr>
        <w:t>B.通过设计.生产.商务.技术各系统在项目计划模块管理中的业务联动和协同，不断提高计划模块节点按时完成率</w:t>
      </w:r>
    </w:p>
    <w:p>
      <w:pPr>
        <w:spacing w:line="360" w:lineRule="auto"/>
        <w:rPr>
          <w:rFonts w:ascii="仿宋" w:hAnsi="仿宋" w:eastAsia="仿宋" w:cs="仿宋"/>
          <w:color w:val="FF0000"/>
        </w:rPr>
      </w:pPr>
      <w:r>
        <w:rPr>
          <w:rFonts w:hint="eastAsia" w:ascii="仿宋" w:hAnsi="仿宋" w:eastAsia="仿宋" w:cs="仿宋"/>
          <w:color w:val="FF0000"/>
        </w:rPr>
        <w:t>C.确保合同额按时转化为营业收入</w:t>
      </w:r>
    </w:p>
    <w:p>
      <w:pPr>
        <w:spacing w:line="360" w:lineRule="auto"/>
        <w:rPr>
          <w:rFonts w:ascii="仿宋" w:hAnsi="仿宋" w:eastAsia="仿宋" w:cs="仿宋"/>
          <w:color w:val="FF0000"/>
        </w:rPr>
      </w:pPr>
      <w:r>
        <w:rPr>
          <w:rFonts w:hint="eastAsia" w:ascii="仿宋" w:hAnsi="仿宋" w:eastAsia="仿宋" w:cs="仿宋"/>
          <w:color w:val="FF0000"/>
        </w:rPr>
        <w:t>D.提高合同额的转化率。实现工期管理的全面履约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2.《计划模块管控系统推进工作实施方案》的主要措施有（  ）</w:t>
      </w:r>
    </w:p>
    <w:p>
      <w:pPr>
        <w:spacing w:line="360" w:lineRule="auto"/>
        <w:rPr>
          <w:rFonts w:ascii="仿宋" w:hAnsi="仿宋" w:eastAsia="仿宋" w:cs="仿宋"/>
          <w:color w:val="FF0000"/>
        </w:rPr>
      </w:pPr>
      <w:r>
        <w:rPr>
          <w:rFonts w:hint="eastAsia" w:ascii="仿宋" w:hAnsi="仿宋" w:eastAsia="仿宋" w:cs="仿宋"/>
          <w:color w:val="FF0000"/>
        </w:rPr>
        <w:t>A.开展培训交流活动           B.开展专项检查和调研</w:t>
      </w:r>
    </w:p>
    <w:p>
      <w:pPr>
        <w:spacing w:line="360" w:lineRule="auto"/>
        <w:rPr>
          <w:rFonts w:ascii="仿宋" w:hAnsi="仿宋" w:eastAsia="仿宋" w:cs="仿宋"/>
          <w:color w:val="FF0000"/>
        </w:rPr>
      </w:pPr>
      <w:r>
        <w:rPr>
          <w:rFonts w:hint="eastAsia" w:ascii="仿宋" w:hAnsi="仿宋" w:eastAsia="仿宋" w:cs="仿宋"/>
          <w:color w:val="FF0000"/>
        </w:rPr>
        <w:t>C.一对一重点帮扶             D.月度考核通报制度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3.项目管理系统以计划模块为主线，当前主要核心功能模块有（）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A.检查考核模块        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B.内控计划模块</w:t>
      </w:r>
    </w:p>
    <w:p>
      <w:pPr>
        <w:spacing w:line="360" w:lineRule="auto"/>
        <w:rPr>
          <w:rFonts w:ascii="仿宋" w:hAnsi="仿宋" w:eastAsia="仿宋" w:cs="仿宋"/>
          <w:color w:val="FF0000"/>
        </w:rPr>
      </w:pPr>
      <w:r>
        <w:rPr>
          <w:rFonts w:hint="eastAsia" w:ascii="仿宋" w:hAnsi="仿宋" w:eastAsia="仿宋" w:cs="仿宋"/>
          <w:color w:val="FF0000"/>
        </w:rPr>
        <w:t>C.四库资源模块</w:t>
      </w:r>
    </w:p>
    <w:p>
      <w:pPr>
        <w:spacing w:line="360" w:lineRule="auto"/>
        <w:rPr>
          <w:rFonts w:ascii="仿宋" w:hAnsi="仿宋" w:eastAsia="仿宋" w:cs="仿宋"/>
          <w:color w:val="FF0000"/>
        </w:rPr>
      </w:pPr>
      <w:r>
        <w:rPr>
          <w:rFonts w:hint="eastAsia" w:ascii="仿宋" w:hAnsi="仿宋" w:eastAsia="仿宋" w:cs="仿宋"/>
          <w:color w:val="FF0000"/>
        </w:rPr>
        <w:t>D.大数据中心模块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E.在线观摩模块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4.局项目管理系统的计划应该由项目经理牵头编制，由（）共同参与编制。</w:t>
      </w:r>
    </w:p>
    <w:p>
      <w:pPr>
        <w:spacing w:line="360" w:lineRule="auto"/>
        <w:rPr>
          <w:rFonts w:ascii="仿宋" w:hAnsi="仿宋" w:eastAsia="仿宋" w:cs="仿宋"/>
          <w:color w:val="FF0000"/>
        </w:rPr>
      </w:pPr>
      <w:r>
        <w:rPr>
          <w:rFonts w:hint="eastAsia" w:ascii="仿宋" w:hAnsi="仿宋" w:eastAsia="仿宋" w:cs="仿宋"/>
          <w:color w:val="FF0000"/>
        </w:rPr>
        <w:t>A.总工  B.商务经理  C.物资主管  D.机电安装经理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5.编制《计划管控操作指引》的目的是为了实现计划管控的（）。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  <w:color w:val="FF0000"/>
        </w:rPr>
        <w:t>A.模块化  B.标准化</w:t>
      </w:r>
      <w:r>
        <w:rPr>
          <w:rFonts w:hint="eastAsia" w:ascii="仿宋" w:hAnsi="仿宋" w:eastAsia="仿宋" w:cs="仿宋"/>
          <w:color w:val="4472C4" w:themeColor="accent1"/>
          <w14:textFill>
            <w14:solidFill>
              <w14:schemeClr w14:val="accent1"/>
            </w14:solidFill>
          </w14:textFill>
        </w:rPr>
        <w:t xml:space="preserve">  </w:t>
      </w:r>
      <w:r>
        <w:rPr>
          <w:rFonts w:hint="eastAsia" w:ascii="仿宋" w:hAnsi="仿宋" w:eastAsia="仿宋" w:cs="仿宋"/>
        </w:rPr>
        <w:t xml:space="preserve">  C.规范化    </w:t>
      </w:r>
      <w:r>
        <w:rPr>
          <w:rFonts w:hint="eastAsia" w:ascii="仿宋" w:hAnsi="仿宋" w:eastAsia="仿宋" w:cs="仿宋"/>
          <w:color w:val="FF0000"/>
        </w:rPr>
        <w:t>D.信息化</w:t>
      </w:r>
    </w:p>
    <w:p>
      <w:p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三.填空题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合同外工期确认率（≥80%）等于（</w:t>
      </w:r>
      <w:r>
        <w:rPr>
          <w:rFonts w:hint="eastAsia" w:ascii="仿宋" w:hAnsi="仿宋" w:eastAsia="仿宋" w:cs="仿宋"/>
          <w:color w:val="FF0000"/>
        </w:rPr>
        <w:t>确认天数/延误天数</w:t>
      </w:r>
      <w:r>
        <w:rPr>
          <w:rFonts w:hint="eastAsia" w:ascii="仿宋" w:hAnsi="仿宋" w:eastAsia="仿宋" w:cs="仿宋"/>
        </w:rPr>
        <w:t>）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  <w:w w:val="99"/>
        </w:rPr>
        <w:t>中标后（</w:t>
      </w:r>
      <w:r>
        <w:rPr>
          <w:rFonts w:hint="eastAsia" w:ascii="仿宋" w:hAnsi="仿宋" w:eastAsia="仿宋" w:cs="仿宋"/>
          <w:color w:val="FF0000"/>
          <w:w w:val="99"/>
        </w:rPr>
        <w:t>3</w:t>
      </w:r>
      <w:r>
        <w:rPr>
          <w:rFonts w:hint="eastAsia" w:ascii="仿宋" w:hAnsi="仿宋" w:eastAsia="仿宋" w:cs="仿宋"/>
          <w:w w:val="99"/>
        </w:rPr>
        <w:t>）天内</w:t>
      </w:r>
      <w:r>
        <w:rPr>
          <w:rFonts w:hint="eastAsia" w:ascii="仿宋" w:hAnsi="仿宋" w:eastAsia="仿宋" w:cs="仿宋"/>
          <w:spacing w:val="-81"/>
          <w:w w:val="99"/>
        </w:rPr>
        <w:t>，</w:t>
      </w:r>
      <w:r>
        <w:rPr>
          <w:rFonts w:hint="eastAsia" w:ascii="仿宋" w:hAnsi="仿宋" w:eastAsia="仿宋" w:cs="仿宋"/>
          <w:w w:val="99"/>
        </w:rPr>
        <w:t>三级单位工程管理部应提交（</w:t>
      </w:r>
      <w:r>
        <w:rPr>
          <w:rFonts w:hint="eastAsia" w:ascii="仿宋" w:hAnsi="仿宋" w:eastAsia="仿宋" w:cs="仿宋"/>
          <w:color w:val="FF0000"/>
          <w:w w:val="99"/>
        </w:rPr>
        <w:t>系统立项申请书</w:t>
      </w:r>
      <w:r>
        <w:rPr>
          <w:rFonts w:hint="eastAsia" w:ascii="仿宋" w:hAnsi="仿宋" w:eastAsia="仿宋" w:cs="仿宋"/>
          <w:w w:val="99"/>
        </w:rPr>
        <w:t>）</w:t>
      </w:r>
      <w:r>
        <w:rPr>
          <w:rFonts w:hint="eastAsia" w:ascii="仿宋" w:hAnsi="仿宋" w:eastAsia="仿宋" w:cs="仿宋"/>
          <w:spacing w:val="-1"/>
          <w:w w:val="99"/>
        </w:rPr>
        <w:t>向上级单</w:t>
      </w:r>
      <w:r>
        <w:rPr>
          <w:rFonts w:hint="eastAsia" w:ascii="仿宋" w:hAnsi="仿宋" w:eastAsia="仿宋" w:cs="仿宋"/>
          <w:w w:val="99"/>
        </w:rPr>
        <w:t>位申请项目立项。</w:t>
      </w:r>
      <w:r>
        <w:rPr>
          <w:rFonts w:hint="eastAsia" w:ascii="仿宋" w:hAnsi="仿宋" w:eastAsia="仿宋" w:cs="仿宋"/>
        </w:rPr>
        <w:t>申请书提交后（</w:t>
      </w:r>
      <w:r>
        <w:rPr>
          <w:rFonts w:hint="eastAsia" w:ascii="仿宋" w:hAnsi="仿宋" w:eastAsia="仿宋" w:cs="仿宋"/>
          <w:color w:val="FF0000"/>
        </w:rPr>
        <w:t>2</w:t>
      </w:r>
      <w:r>
        <w:rPr>
          <w:rFonts w:hint="eastAsia" w:ascii="仿宋" w:hAnsi="仿宋" w:eastAsia="仿宋" w:cs="仿宋"/>
        </w:rPr>
        <w:t>）天内，（</w:t>
      </w:r>
      <w:r>
        <w:rPr>
          <w:rFonts w:hint="eastAsia" w:ascii="仿宋" w:hAnsi="仿宋" w:eastAsia="仿宋" w:cs="仿宋"/>
          <w:color w:val="FF0000"/>
          <w:w w:val="99"/>
        </w:rPr>
        <w:t>三级单位生产副总</w:t>
      </w:r>
      <w:r>
        <w:rPr>
          <w:rFonts w:hint="eastAsia" w:ascii="仿宋" w:hAnsi="仿宋" w:eastAsia="仿宋" w:cs="仿宋"/>
        </w:rPr>
        <w:t>）应对立项申请进行审核。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中标后 （</w:t>
      </w:r>
      <w:r>
        <w:rPr>
          <w:rFonts w:hint="eastAsia" w:ascii="仿宋" w:hAnsi="仿宋" w:eastAsia="仿宋" w:cs="仿宋"/>
          <w:color w:val="FF0000"/>
        </w:rPr>
        <w:t>45</w:t>
      </w:r>
      <w:r>
        <w:rPr>
          <w:rFonts w:hint="eastAsia" w:ascii="仿宋" w:hAnsi="仿宋" w:eastAsia="仿宋" w:cs="仿宋"/>
        </w:rPr>
        <w:t>）天内编制完成模块计划。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模块计划编制完成后，</w:t>
      </w:r>
      <w:r>
        <w:rPr>
          <w:rFonts w:hint="eastAsia" w:ascii="仿宋" w:hAnsi="仿宋" w:eastAsia="仿宋" w:cs="仿宋"/>
          <w:color w:val="FF0000"/>
        </w:rPr>
        <w:t>（2）</w:t>
      </w:r>
      <w:r>
        <w:rPr>
          <w:rFonts w:hint="eastAsia" w:ascii="仿宋" w:hAnsi="仿宋" w:eastAsia="仿宋" w:cs="仿宋"/>
        </w:rPr>
        <w:t>天内完成项目单体维护，</w:t>
      </w:r>
      <w:r>
        <w:rPr>
          <w:rFonts w:hint="eastAsia" w:ascii="仿宋" w:hAnsi="仿宋" w:eastAsia="仿宋" w:cs="仿宋"/>
          <w:color w:val="FF0000"/>
        </w:rPr>
        <w:t>（3）</w:t>
      </w:r>
      <w:r>
        <w:rPr>
          <w:rFonts w:hint="eastAsia" w:ascii="仿宋" w:hAnsi="仿宋" w:eastAsia="仿宋" w:cs="仿宋"/>
          <w:color w:val="FF0000"/>
          <w:spacing w:val="-62"/>
        </w:rPr>
        <w:t xml:space="preserve"> </w:t>
      </w:r>
      <w:r>
        <w:rPr>
          <w:rFonts w:hint="eastAsia" w:ascii="仿宋" w:hAnsi="仿宋" w:eastAsia="仿宋" w:cs="仿宋"/>
        </w:rPr>
        <w:t>天内完成项目模块时间维护，</w:t>
      </w:r>
      <w:r>
        <w:rPr>
          <w:rFonts w:hint="eastAsia" w:ascii="仿宋" w:hAnsi="仿宋" w:eastAsia="仿宋" w:cs="仿宋"/>
          <w:color w:val="FF0000"/>
        </w:rPr>
        <w:t>（4）</w:t>
      </w:r>
      <w:r>
        <w:rPr>
          <w:rFonts w:hint="eastAsia" w:ascii="仿宋" w:hAnsi="仿宋" w:eastAsia="仿宋" w:cs="仿宋"/>
          <w:color w:val="FF0000"/>
          <w:spacing w:val="-62"/>
        </w:rPr>
        <w:t xml:space="preserve"> </w:t>
      </w:r>
      <w:r>
        <w:rPr>
          <w:rFonts w:hint="eastAsia" w:ascii="仿宋" w:hAnsi="仿宋" w:eastAsia="仿宋" w:cs="仿宋"/>
        </w:rPr>
        <w:t>天内完成项目计划审批。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所有节点复核，应在节点填报后（</w:t>
      </w:r>
      <w:r>
        <w:rPr>
          <w:rFonts w:hint="eastAsia" w:ascii="仿宋" w:hAnsi="仿宋" w:eastAsia="仿宋" w:cs="仿宋"/>
          <w:color w:val="FF0000"/>
        </w:rPr>
        <w:t>2</w:t>
      </w:r>
      <w:r>
        <w:rPr>
          <w:rFonts w:hint="eastAsia" w:ascii="仿宋" w:hAnsi="仿宋" w:eastAsia="仿宋" w:cs="仿宋"/>
        </w:rPr>
        <w:t>）</w:t>
      </w:r>
      <w:r>
        <w:rPr>
          <w:rFonts w:hint="eastAsia" w:ascii="仿宋" w:hAnsi="仿宋" w:eastAsia="仿宋" w:cs="仿宋"/>
          <w:color w:val="FF0000"/>
          <w:spacing w:val="-62"/>
        </w:rPr>
        <w:t xml:space="preserve"> </w:t>
      </w:r>
      <w:r>
        <w:rPr>
          <w:rFonts w:hint="eastAsia" w:ascii="仿宋" w:hAnsi="仿宋" w:eastAsia="仿宋" w:cs="仿宋"/>
        </w:rPr>
        <w:t xml:space="preserve"> 天内完成。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636E0"/>
    <w:multiLevelType w:val="singleLevel"/>
    <w:tmpl w:val="34D636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E5F"/>
    <w:rsid w:val="000A0930"/>
    <w:rsid w:val="00105905"/>
    <w:rsid w:val="00122BD6"/>
    <w:rsid w:val="00131366"/>
    <w:rsid w:val="00153A68"/>
    <w:rsid w:val="00172A27"/>
    <w:rsid w:val="00193F3A"/>
    <w:rsid w:val="00235BDA"/>
    <w:rsid w:val="00243EB9"/>
    <w:rsid w:val="002634B6"/>
    <w:rsid w:val="002810A4"/>
    <w:rsid w:val="00297757"/>
    <w:rsid w:val="002B4515"/>
    <w:rsid w:val="002D4538"/>
    <w:rsid w:val="002D7029"/>
    <w:rsid w:val="00321278"/>
    <w:rsid w:val="003570A5"/>
    <w:rsid w:val="0039118B"/>
    <w:rsid w:val="003953DE"/>
    <w:rsid w:val="003A19C6"/>
    <w:rsid w:val="003B25DC"/>
    <w:rsid w:val="003C4C7F"/>
    <w:rsid w:val="00420B3B"/>
    <w:rsid w:val="00485145"/>
    <w:rsid w:val="00486074"/>
    <w:rsid w:val="0049595F"/>
    <w:rsid w:val="004C0B9A"/>
    <w:rsid w:val="00571533"/>
    <w:rsid w:val="0057404D"/>
    <w:rsid w:val="00592870"/>
    <w:rsid w:val="005A7DBC"/>
    <w:rsid w:val="005F20C6"/>
    <w:rsid w:val="00610EA8"/>
    <w:rsid w:val="00616C7B"/>
    <w:rsid w:val="00656C1E"/>
    <w:rsid w:val="00666200"/>
    <w:rsid w:val="00691FE9"/>
    <w:rsid w:val="006D10BE"/>
    <w:rsid w:val="006D6769"/>
    <w:rsid w:val="006E68BB"/>
    <w:rsid w:val="007633DF"/>
    <w:rsid w:val="00765A0A"/>
    <w:rsid w:val="00766B3B"/>
    <w:rsid w:val="007A4931"/>
    <w:rsid w:val="007D5C88"/>
    <w:rsid w:val="00850EFF"/>
    <w:rsid w:val="00873106"/>
    <w:rsid w:val="008F36D5"/>
    <w:rsid w:val="00914AF7"/>
    <w:rsid w:val="00940813"/>
    <w:rsid w:val="0096108A"/>
    <w:rsid w:val="009A0B4A"/>
    <w:rsid w:val="009B092D"/>
    <w:rsid w:val="009C75DC"/>
    <w:rsid w:val="00AB2A7F"/>
    <w:rsid w:val="00AE056F"/>
    <w:rsid w:val="00B5247B"/>
    <w:rsid w:val="00B70F33"/>
    <w:rsid w:val="00BB7BF8"/>
    <w:rsid w:val="00C87497"/>
    <w:rsid w:val="00CC7ECF"/>
    <w:rsid w:val="00D034A3"/>
    <w:rsid w:val="00DD4042"/>
    <w:rsid w:val="00E06055"/>
    <w:rsid w:val="00E35CC8"/>
    <w:rsid w:val="00E94F92"/>
    <w:rsid w:val="00E9600F"/>
    <w:rsid w:val="00EB68EA"/>
    <w:rsid w:val="00F370A7"/>
    <w:rsid w:val="00FE45FC"/>
    <w:rsid w:val="023C4963"/>
    <w:rsid w:val="03334D2A"/>
    <w:rsid w:val="22366B03"/>
    <w:rsid w:val="2D5A5428"/>
    <w:rsid w:val="2F9E664C"/>
    <w:rsid w:val="2FEA6447"/>
    <w:rsid w:val="4DAC35EA"/>
    <w:rsid w:val="506A0806"/>
    <w:rsid w:val="512E55F5"/>
    <w:rsid w:val="51465CB8"/>
    <w:rsid w:val="57DA7580"/>
    <w:rsid w:val="5C795567"/>
    <w:rsid w:val="6A9270F5"/>
    <w:rsid w:val="7149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仿宋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1"/>
    <w:rPr>
      <w:rFonts w:ascii="仿宋" w:hAnsi="仿宋" w:cs="仿宋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正文文本 字符"/>
    <w:basedOn w:val="8"/>
    <w:link w:val="3"/>
    <w:qFormat/>
    <w:uiPriority w:val="1"/>
    <w:rPr>
      <w:rFonts w:ascii="仿宋" w:hAnsi="仿宋" w:eastAsia="仿宋" w:cs="仿宋"/>
      <w:sz w:val="24"/>
      <w:szCs w:val="24"/>
    </w:rPr>
  </w:style>
  <w:style w:type="paragraph" w:customStyle="1" w:styleId="14">
    <w:name w:val="Table Paragraph"/>
    <w:basedOn w:val="1"/>
    <w:qFormat/>
    <w:uiPriority w:val="1"/>
    <w:rPr>
      <w:rFonts w:ascii="宋体" w:hAnsi="宋体" w:eastAsia="宋体" w:cs="宋体"/>
      <w:sz w:val="21"/>
      <w:lang w:val="zh-CN" w:bidi="zh-CN"/>
    </w:r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" w:eastAsia="仿宋" w:cs="仿宋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34</Pages>
  <Words>3147</Words>
  <Characters>17941</Characters>
  <Lines>149</Lines>
  <Paragraphs>42</Paragraphs>
  <TotalTime>2</TotalTime>
  <ScaleCrop>false</ScaleCrop>
  <LinksUpToDate>false</LinksUpToDate>
  <CharactersWithSpaces>21046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2019-10-30T07:05:00Z</dcterms:created>
  <dc:creator>传旗</dc:creator>
  <cp:lastModifiedBy>wxcno</cp:lastModifiedBy>
  <dcterms:modified xsi:type="dcterms:W3CDTF">2019-11-01T15:45:13Z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