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2E53" w14:textId="1913D588" w:rsidR="008C07C7" w:rsidRPr="00E51CA1" w:rsidRDefault="00E51CA1">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[Short introduction into section 2.2. Sensor units]</w:t>
      </w:r>
    </w:p>
    <w:p w14:paraId="2DF82EE8" w14:textId="77777777" w:rsidR="008C07C7" w:rsidRDefault="008C07C7">
      <w:pPr>
        <w:rPr>
          <w:rFonts w:ascii="Times New Roman" w:eastAsia="Times New Roman" w:hAnsi="Times New Roman" w:cs="Times New Roman"/>
          <w:sz w:val="24"/>
          <w:szCs w:val="24"/>
        </w:rPr>
      </w:pPr>
    </w:p>
    <w:p w14:paraId="00000007" w14:textId="6980EF61" w:rsidR="00A04B29" w:rsidRDefault="00377897">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agriculture, the weather factor plays a key role in the growth and development of plants</w:t>
      </w:r>
      <w:r w:rsidR="004457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since it affects </w:t>
      </w:r>
      <w:r w:rsidR="004457EB">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the environment (e.g., soil, fungi, pests) and the plants themselves (e.g., the integrity of branches and leaves) </w:t>
      </w:r>
      <w:r w:rsidR="004457EB">
        <w:rPr>
          <w:rFonts w:ascii="Times New Roman" w:eastAsia="Times New Roman" w:hAnsi="Times New Roman" w:cs="Times New Roman"/>
          <w:sz w:val="24"/>
          <w:szCs w:val="24"/>
        </w:rPr>
        <w:fldChar w:fldCharType="begin" w:fldLock="1"/>
      </w:r>
      <w:r w:rsidR="00A04B29">
        <w:rPr>
          <w:rFonts w:ascii="Times New Roman" w:eastAsia="Times New Roman" w:hAnsi="Times New Roman" w:cs="Times New Roman"/>
          <w:sz w:val="24"/>
          <w:szCs w:val="24"/>
        </w:rPr>
        <w:instrText>ADDIN CSL_CITATION {"citationItems":[{"id":"ITEM-1","itemData":{"URL":"https://www.agricolus.com/en/the-importance-of-weather-data-in-agriculture/","author":[{"dropping-particle":"","family":"Cardinali","given":"Matteo","non-dropping-particle":"","parse-names":false,"suffix":""}],"container-title":"Agricolus","id":"ITEM-1","issued":{"date-parts":[["2022"]]},"title":"The importance of weather data in agriculture","type":"webpage"},"uris":["http://www.mendeley.com/documents/?uuid=10c666e0-59e0-4c1a-b958-4bb76f81bdf3"]},{"id":"ITEM-2","itemData":{"DOI":"10.1016/j.plantsci.2016.01.006","ISSN":"01689452","author":[{"dropping-particle":"","family":"Gardiner","given":"Barry","non-dropping-particle":"","parse-names":false,"suffix":""},{"dropping-particle":"","family":"Berry","given":"Peter","non-dropping-particle":"","parse-names":false,"suffix":""},{"dropping-particle":"","family":"Moulia","given":"Bruno","non-dropping-particle":"","parse-names":false,"suffix":""}],"container-title":"Plant Science","id":"ITEM-2","issued":{"date-parts":[["2016","4"]]},"page":"94-118","title":"Review: Wind impacts on plant growth, mechanics and damage","type":"article-journal","volume":"245"},"uris":["http://www.mendeley.com/documents/?uuid=8404b681-cfe0-405e-9000-2a3f5c96efaf"]},{"id":"ITEM-3","itemData":{"DOI":"10.1146/annurev.fluid.40.111406.102135","ISSN":"0066-4189","abstract":"This review surveys the large variety of mechanical interactions between wind and plants, from plant organs to plant systems. These interactions range from leaf flutter to uprooting and seed dispersal, as well as indirect effects on photosynthesis or insect communication. I first estimate the relevant nondimensional parameters and then discuss turbulence, plant dynamics, and the mechanisms of interaction in this context. Some common features are identified and analyzed in relation to the wind engineering of manmade structures. Strong coupling between plants and wind exists, in which the plant motion modifies the wind dynamics. I also present some related biological issues in which the relation between plant life and wind environment is emphasized.","author":[{"dropping-particle":"","family":"Langre","given":"Emmanuel","non-dropping-particle":"de","parse-names":false,"suffix":""}],"container-title":"Annual Review of Fluid Mechanics","id":"ITEM-3","issue":"1","issued":{"date-parts":[["2008","1","1"]]},"page":"141-168","title":"Effects of Wind on Plants","type":"article-journal","volume":"40"},"uris":["http://www.mendeley.com/documents/?uuid=ef05d2d9-e4f0-4e42-aae6-11f6419d1b78"]}],"mendeley":{"formattedCitation":"[1]–[3]","plainTextFormattedCitation":"[1]–[3]","previouslyFormattedCitation":"[1]–[3]"},"properties":{"noteIndex":0},"schema":"https://github.com/citation-style-language/schema/raw/master/csl-citation.json"}</w:instrText>
      </w:r>
      <w:r w:rsidR="004457EB">
        <w:rPr>
          <w:rFonts w:ascii="Times New Roman" w:eastAsia="Times New Roman" w:hAnsi="Times New Roman" w:cs="Times New Roman"/>
          <w:sz w:val="24"/>
          <w:szCs w:val="24"/>
        </w:rPr>
        <w:fldChar w:fldCharType="separate"/>
      </w:r>
      <w:r w:rsidR="004457EB" w:rsidRPr="004457EB">
        <w:rPr>
          <w:rFonts w:ascii="Times New Roman" w:eastAsia="Times New Roman" w:hAnsi="Times New Roman" w:cs="Times New Roman"/>
          <w:noProof/>
          <w:sz w:val="24"/>
          <w:szCs w:val="24"/>
        </w:rPr>
        <w:t>[1]–[3]</w:t>
      </w:r>
      <w:r w:rsidR="004457E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By monitoring the corresponding meteorological parameters, agronomy helps to predict weather events and to plan suitable adjustments to an area for the maximised agric productivity. </w:t>
      </w:r>
      <w:r w:rsidR="00A04B29">
        <w:rPr>
          <w:rFonts w:ascii="Times New Roman" w:eastAsia="Times New Roman" w:hAnsi="Times New Roman" w:cs="Times New Roman"/>
          <w:sz w:val="24"/>
          <w:szCs w:val="24"/>
        </w:rPr>
        <w:t>Some such qualities includes wind data, rainfall, temperature, humidity, and atmospheric pressure, which are to be monitored by the Autonomous Wireless Agrometeorology Station</w:t>
      </w:r>
      <w:r w:rsidR="00016718">
        <w:rPr>
          <w:rFonts w:ascii="Times New Roman" w:eastAsia="Times New Roman" w:hAnsi="Times New Roman" w:cs="Times New Roman"/>
          <w:sz w:val="24"/>
          <w:szCs w:val="24"/>
        </w:rPr>
        <w:t xml:space="preserve"> via a set of </w:t>
      </w:r>
      <w:r w:rsidR="009800E6">
        <w:rPr>
          <w:rFonts w:ascii="Times New Roman" w:eastAsia="Times New Roman" w:hAnsi="Times New Roman" w:cs="Times New Roman"/>
          <w:sz w:val="24"/>
          <w:szCs w:val="24"/>
        </w:rPr>
        <w:t>sensors</w:t>
      </w:r>
      <w:r w:rsidR="00697577">
        <w:rPr>
          <w:rFonts w:ascii="Times New Roman" w:eastAsia="Times New Roman" w:hAnsi="Times New Roman" w:cs="Times New Roman"/>
          <w:sz w:val="24"/>
          <w:szCs w:val="24"/>
        </w:rPr>
        <w:t xml:space="preserve"> which are looked into in this section.</w:t>
      </w:r>
    </w:p>
    <w:p w14:paraId="4D072603" w14:textId="77777777" w:rsidR="00A04B29" w:rsidRDefault="00A04B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E63EF3" w14:textId="39393727" w:rsidR="00A04B29" w:rsidRPr="00A04B29" w:rsidRDefault="00A04B29" w:rsidP="00A04B2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eastAsia="Times New Roman" w:hAnsi="Times New Roman" w:cs="Times New Roman"/>
          <w:sz w:val="24"/>
          <w:szCs w:val="24"/>
        </w:rPr>
        <w:lastRenderedPageBreak/>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Pr="00A04B29">
        <w:rPr>
          <w:rFonts w:ascii="Times New Roman" w:hAnsi="Times New Roman" w:cs="Times New Roman"/>
          <w:noProof/>
          <w:sz w:val="24"/>
          <w:szCs w:val="24"/>
        </w:rPr>
        <w:t>[1]</w:t>
      </w:r>
      <w:r w:rsidRPr="00A04B29">
        <w:rPr>
          <w:rFonts w:ascii="Times New Roman" w:hAnsi="Times New Roman" w:cs="Times New Roman"/>
          <w:noProof/>
          <w:sz w:val="24"/>
          <w:szCs w:val="24"/>
        </w:rPr>
        <w:tab/>
        <w:t xml:space="preserve">M. Cardinali, “The importance of weather data in agriculture,” </w:t>
      </w:r>
      <w:r w:rsidRPr="00A04B29">
        <w:rPr>
          <w:rFonts w:ascii="Times New Roman" w:hAnsi="Times New Roman" w:cs="Times New Roman"/>
          <w:i/>
          <w:iCs/>
          <w:noProof/>
          <w:sz w:val="24"/>
          <w:szCs w:val="24"/>
        </w:rPr>
        <w:t>Agricolus</w:t>
      </w:r>
      <w:r w:rsidRPr="00A04B29">
        <w:rPr>
          <w:rFonts w:ascii="Times New Roman" w:hAnsi="Times New Roman" w:cs="Times New Roman"/>
          <w:noProof/>
          <w:sz w:val="24"/>
          <w:szCs w:val="24"/>
        </w:rPr>
        <w:t>, 2022. https://www.agricolus.com/en/the-importance-of-weather-data-in-agriculture/.</w:t>
      </w:r>
    </w:p>
    <w:p w14:paraId="7109CA44" w14:textId="77777777" w:rsidR="00A04B29" w:rsidRPr="00A04B29" w:rsidRDefault="00A04B29" w:rsidP="00A04B29">
      <w:pPr>
        <w:widowControl w:val="0"/>
        <w:autoSpaceDE w:val="0"/>
        <w:autoSpaceDN w:val="0"/>
        <w:adjustRightInd w:val="0"/>
        <w:spacing w:line="240" w:lineRule="auto"/>
        <w:ind w:left="640" w:hanging="640"/>
        <w:rPr>
          <w:rFonts w:ascii="Times New Roman" w:hAnsi="Times New Roman" w:cs="Times New Roman"/>
          <w:noProof/>
          <w:sz w:val="24"/>
          <w:szCs w:val="24"/>
        </w:rPr>
      </w:pPr>
      <w:r w:rsidRPr="00A04B29">
        <w:rPr>
          <w:rFonts w:ascii="Times New Roman" w:hAnsi="Times New Roman" w:cs="Times New Roman"/>
          <w:noProof/>
          <w:sz w:val="24"/>
          <w:szCs w:val="24"/>
        </w:rPr>
        <w:t>[2]</w:t>
      </w:r>
      <w:r w:rsidRPr="00A04B29">
        <w:rPr>
          <w:rFonts w:ascii="Times New Roman" w:hAnsi="Times New Roman" w:cs="Times New Roman"/>
          <w:noProof/>
          <w:sz w:val="24"/>
          <w:szCs w:val="24"/>
        </w:rPr>
        <w:tab/>
        <w:t xml:space="preserve">B. Gardiner, P. Berry, and B. Moulia, “Review: Wind impacts on plant growth, mechanics and damage,” </w:t>
      </w:r>
      <w:r w:rsidRPr="00A04B29">
        <w:rPr>
          <w:rFonts w:ascii="Times New Roman" w:hAnsi="Times New Roman" w:cs="Times New Roman"/>
          <w:i/>
          <w:iCs/>
          <w:noProof/>
          <w:sz w:val="24"/>
          <w:szCs w:val="24"/>
        </w:rPr>
        <w:t>Plant Sci.</w:t>
      </w:r>
      <w:r w:rsidRPr="00A04B29">
        <w:rPr>
          <w:rFonts w:ascii="Times New Roman" w:hAnsi="Times New Roman" w:cs="Times New Roman"/>
          <w:noProof/>
          <w:sz w:val="24"/>
          <w:szCs w:val="24"/>
        </w:rPr>
        <w:t>, vol. 245, pp. 94–118, Apr. 2016, doi: 10.1016/j.plantsci.2016.01.006.</w:t>
      </w:r>
    </w:p>
    <w:p w14:paraId="1FA18951" w14:textId="77777777" w:rsidR="00A04B29" w:rsidRPr="00A04B29" w:rsidRDefault="00A04B29" w:rsidP="00A04B29">
      <w:pPr>
        <w:widowControl w:val="0"/>
        <w:autoSpaceDE w:val="0"/>
        <w:autoSpaceDN w:val="0"/>
        <w:adjustRightInd w:val="0"/>
        <w:spacing w:line="240" w:lineRule="auto"/>
        <w:ind w:left="640" w:hanging="640"/>
        <w:rPr>
          <w:rFonts w:ascii="Times New Roman" w:hAnsi="Times New Roman" w:cs="Times New Roman"/>
          <w:noProof/>
          <w:sz w:val="24"/>
        </w:rPr>
      </w:pPr>
      <w:r w:rsidRPr="00A04B29">
        <w:rPr>
          <w:rFonts w:ascii="Times New Roman" w:hAnsi="Times New Roman" w:cs="Times New Roman"/>
          <w:noProof/>
          <w:sz w:val="24"/>
          <w:szCs w:val="24"/>
        </w:rPr>
        <w:t>[3]</w:t>
      </w:r>
      <w:r w:rsidRPr="00A04B29">
        <w:rPr>
          <w:rFonts w:ascii="Times New Roman" w:hAnsi="Times New Roman" w:cs="Times New Roman"/>
          <w:noProof/>
          <w:sz w:val="24"/>
          <w:szCs w:val="24"/>
        </w:rPr>
        <w:tab/>
        <w:t xml:space="preserve">E. de Langre, “Effects of Wind on Plants,” </w:t>
      </w:r>
      <w:r w:rsidRPr="00A04B29">
        <w:rPr>
          <w:rFonts w:ascii="Times New Roman" w:hAnsi="Times New Roman" w:cs="Times New Roman"/>
          <w:i/>
          <w:iCs/>
          <w:noProof/>
          <w:sz w:val="24"/>
          <w:szCs w:val="24"/>
        </w:rPr>
        <w:t>Annu. Rev. Fluid Mech.</w:t>
      </w:r>
      <w:r w:rsidRPr="00A04B29">
        <w:rPr>
          <w:rFonts w:ascii="Times New Roman" w:hAnsi="Times New Roman" w:cs="Times New Roman"/>
          <w:noProof/>
          <w:sz w:val="24"/>
          <w:szCs w:val="24"/>
        </w:rPr>
        <w:t>, vol. 40, no. 1, pp. 141–168, Jan. 2008, doi: 10.1146/annurev.fluid.40.111406.102135.</w:t>
      </w:r>
    </w:p>
    <w:p w14:paraId="00170640" w14:textId="6C70AA11" w:rsidR="00D82FF1" w:rsidRPr="004457EB" w:rsidRDefault="00A04B29">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D82FF1" w:rsidRPr="004457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F1"/>
    <w:rsid w:val="00016718"/>
    <w:rsid w:val="0017538A"/>
    <w:rsid w:val="00377897"/>
    <w:rsid w:val="004457EB"/>
    <w:rsid w:val="00697577"/>
    <w:rsid w:val="008C07C7"/>
    <w:rsid w:val="009800E6"/>
    <w:rsid w:val="00A04B29"/>
    <w:rsid w:val="00D82FF1"/>
    <w:rsid w:val="00E5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B13B"/>
  <w15:docId w15:val="{0747FB64-EF7A-4F65-8811-81A742CC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8A8B3-D2C3-4E30-8144-F6F42372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Nguyên Hoàng Đỗ</cp:lastModifiedBy>
  <cp:revision>9</cp:revision>
  <dcterms:created xsi:type="dcterms:W3CDTF">2023-04-11T03:25:00Z</dcterms:created>
  <dcterms:modified xsi:type="dcterms:W3CDTF">2023-07-05T03:53:00Z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57e49cbd-2666-3a29-83cb-883a69855aa3</vt:lpwstr>
  </property>
  <property fmtid="{D5CDD505-2E9C-101B-9397-08002B2CF9AE}" pid="24" name="Mendeley Citation Style_1">
    <vt:lpwstr>http://www.zotero.org/styles/ieee</vt:lpwstr>
  </property>
</Properties>
</file>