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Meridian Health Systems, Inc.</w:t>
      </w:r>
    </w:p>
    <w:p>
      <w:pPr>
        <w:jc w:val="center"/>
      </w:pPr>
      <w:r>
        <w:rPr>
          <w:sz w:val="40"/>
        </w:rPr>
        <w:t>Oracle Fusion HCM – Solution Design Document</w:t>
      </w:r>
    </w:p>
    <w:p>
      <w:pPr>
        <w:jc w:val="center"/>
      </w:pPr>
      <w:r>
        <w:rPr>
          <w:b/>
        </w:rPr>
        <w:t xml:space="preserve">Project: </w:t>
      </w:r>
      <w:r>
        <w:t>Oracle Fusion HCM Implementation</w:t>
      </w:r>
    </w:p>
    <w:p>
      <w:pPr>
        <w:jc w:val="center"/>
      </w:pPr>
      <w:r>
        <w:rPr>
          <w:b/>
        </w:rPr>
        <w:t xml:space="preserve">Reference: </w:t>
      </w:r>
      <w:r>
        <w:t>SDD_V1.0</w:t>
      </w:r>
    </w:p>
    <w:p>
      <w:pPr>
        <w:jc w:val="center"/>
      </w:pPr>
      <w:r>
        <w:rPr>
          <w:b/>
        </w:rPr>
        <w:t xml:space="preserve">Author: </w:t>
      </w:r>
      <w:r>
        <w:t>Implementation Team</w:t>
      </w:r>
    </w:p>
    <w:p>
      <w:pPr>
        <w:jc w:val="center"/>
      </w:pPr>
      <w:r>
        <w:rPr>
          <w:b/>
        </w:rPr>
        <w:t xml:space="preserve">Version: </w:t>
      </w:r>
      <w:r>
        <w:t>1.0</w:t>
      </w:r>
    </w:p>
    <w:p>
      <w:pPr>
        <w:jc w:val="center"/>
      </w:pPr>
      <w:r>
        <w:rPr>
          <w:b/>
        </w:rPr>
        <w:t xml:space="preserve">Date: </w:t>
      </w:r>
      <w:r>
        <w:t>08 May 2026</w:t>
      </w:r>
    </w:p>
    <w:p>
      <w:pPr>
        <w:jc w:val="center"/>
      </w:pPr>
      <w:r>
        <w:rPr>
          <w:b/>
        </w:rPr>
        <w:t xml:space="preserve">Confidentiality: </w:t>
      </w:r>
      <w:r>
        <w:t>Confidential</w:t>
      </w:r>
    </w:p>
    <w:p>
      <w:r>
        <w:br w:type="page"/>
      </w:r>
    </w:p>
    <w:p>
      <w:pPr>
        <w:pStyle w:val="Heading1"/>
      </w:pPr>
      <w:r>
        <w:t>Table of Contents</w:t>
      </w:r>
    </w:p>
    <w:p>
      <w:r>
        <w:t>[Auto-generated Table of Contents – update after opening in Word]</w:t>
      </w:r>
    </w:p>
    <w:p>
      <w:r>
        <w:br w:type="page"/>
      </w:r>
    </w:p>
    <w:p>
      <w:pPr>
        <w:pStyle w:val="Heading1"/>
      </w:pPr>
      <w:r>
        <w:t>2. Introduction</w:t>
      </w:r>
    </w:p>
    <w:p>
      <w:r>
        <w:t>This Solution Design Document (SDD) defines the functional and technical blueprint for implementing Oracle Fusion HCM modules for Meridian Health Systems, Inc. It serves as the definitive reference for the project team and senior stakeholders to ensure alignment on design decisions, integration points, and compliance requirements.</w:t>
      </w:r>
    </w:p>
    <w:p>
      <w:pPr>
        <w:pStyle w:val="Heading2"/>
      </w:pPr>
      <w:r>
        <w:t>2.1 Scope</w:t>
      </w:r>
    </w:p>
    <w:p>
      <w:r>
        <w:t>The scope encompasses Oracle Fusion Core HR, Compensation, and Benefits modules across four legal entities (USA, Canada, Mexico) supporting 14,200 employees at 42 facilities. It includes global employee master data management, multi‑level approval workflows, bilingual (English/Spanish) and French‑Canadian UI configuration, integration with Symplr (credentialing), Epic (provider data), ADP US, Ceridian Canada, and Benefitfocus via Oracle Integration Cloud (OIC), and the establishment of a single source of truth using a global employee ID as the golden record. Unionized workforce rules, clinical credentialing, and healthcare compliance controls are also covered.</w:t>
      </w:r>
    </w:p>
    <w:p>
      <w:pPr>
        <w:pStyle w:val="Heading2"/>
      </w:pPr>
      <w:r>
        <w:t>2.2 Implementation Approach</w:t>
      </w:r>
    </w:p>
    <w:p>
      <w:r>
        <w:t>The project will follow Oracle’s Accelerated Cloud Implementation (ACI) methodology, leveraging a phased rollout: Phase 1 – Foundation (Legal Entities, Business Units, Global HR structures, and data migration); Phase 2 – Core HR functional configuration and integration; Phase 3 – Compensation &amp; Benefits configuration, approval workflow automation, and UI localization; Phase 4 – Credentialing integration and go‑live readiness. Each phase utilizes Setup and Maintenance tasks, HDL data loads, and OIC orchestrations to ensure an event‑driven, real‑time integration landscape.</w:t>
      </w:r>
    </w:p>
    <w:p>
      <w:r>
        <w:br w:type="page"/>
      </w:r>
    </w:p>
    <w:p>
      <w:pPr>
        <w:pStyle w:val="Heading1"/>
      </w:pPr>
      <w:r>
        <w:t>3. Business Structure</w:t>
      </w:r>
    </w:p>
    <w:p>
      <w:pPr>
        <w:pStyle w:val="Heading2"/>
      </w:pPr>
      <w:r>
        <w:t>3.1 Enterprise</w:t>
      </w:r>
    </w:p>
    <w:p>
      <w:r>
        <w:t>This section defines the foundational enterprise structures – Legal Entities, Business Units, Global Payroll, Languages and Global Employee ID – that underpin all downstream Fusion HCM processes. Establishing a single, well‑governed enterprise hierarchy is critical for Meridian Health Systems to achieve a consolidated employee master, support multi‑country compliance, and enable the event‑driven integrations required for payroll, credentialing and benefits.</w:t>
      </w:r>
    </w:p>
    <w:p>
      <w:r>
        <w:rPr>
          <w:b/>
        </w:rPr>
        <w:t xml:space="preserve">Oracle Recommendation: </w:t>
      </w:r>
      <w:r>
        <w:t>Oracle best practice for a multi‑country, multi‑legal‑entity healthcare organization is to create a flat Legal Entity hierarchy (one per country), map Business Units to each facility, enable Global Employee ID as the golden record, and activate bilingual (EN/ES) and French‑Canadian language support at the enterprise level. All structures should be maintained through the Setup and Maintenance task **Manage Enterprise HCM Information** and related sub‑tasks.</w:t>
      </w:r>
    </w:p>
    <w:p>
      <w:r>
        <w:rPr>
          <w:b/>
        </w:rPr>
        <w:t xml:space="preserve">Meridian Health Systems, Inc. Decision: </w:t>
      </w:r>
      <w:r>
        <w:t>Implement a consolidated enterprise model consisting of four Legal Entities (USA, Canada, Mexico, Corporate), 42 Business Units (one per facility), a single Global Payroll configuration per country, and enable English, Spanish and French‑Canadian UI languages. Define a Global Employee ID format (MER‑YYMM‑NNNN) to serve as the master identifier across all integrations.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Legal Entity</w:t>
            </w:r>
          </w:p>
        </w:tc>
        <w:tc>
          <w:tcPr>
            <w:tcW w:type="dxa" w:w="3033"/>
          </w:tcPr>
          <w:p>
            <w:r>
              <w:t>USA, Canada, Mexico, Corporate</w:t>
            </w:r>
          </w:p>
        </w:tc>
        <w:tc>
          <w:tcPr>
            <w:tcW w:type="dxa" w:w="3033"/>
          </w:tcPr>
          <w:p>
            <w:r>
              <w:t>One Legal Entity per country to simplify statutory reporting and payroll provider mapping.</w:t>
            </w:r>
          </w:p>
        </w:tc>
      </w:tr>
      <w:tr>
        <w:tc>
          <w:tcPr>
            <w:tcW w:type="dxa" w:w="3033"/>
          </w:tcPr>
          <w:p>
            <w:r>
              <w:t>Business Unit</w:t>
            </w:r>
          </w:p>
        </w:tc>
        <w:tc>
          <w:tcPr>
            <w:tcW w:type="dxa" w:w="3033"/>
          </w:tcPr>
          <w:p>
            <w:r>
              <w:t>42 units – one per facility (e.g., BU‑NYC‑001, BU‑TOR‑015)</w:t>
            </w:r>
          </w:p>
        </w:tc>
        <w:tc>
          <w:tcPr>
            <w:tcW w:type="dxa" w:w="3033"/>
          </w:tcPr>
          <w:p>
            <w:r>
              <w:t>Aligns with facility‑level budgeting, union contracts and clinical credentialing scopes.</w:t>
            </w:r>
          </w:p>
        </w:tc>
      </w:tr>
      <w:tr>
        <w:tc>
          <w:tcPr>
            <w:tcW w:type="dxa" w:w="3033"/>
          </w:tcPr>
          <w:p>
            <w:r>
              <w:t>Global Employee ID Format</w:t>
            </w:r>
          </w:p>
        </w:tc>
        <w:tc>
          <w:tcPr>
            <w:tcW w:type="dxa" w:w="3033"/>
          </w:tcPr>
          <w:p>
            <w:r>
              <w:t>MER‑YYMM‑NNNN</w:t>
            </w:r>
          </w:p>
        </w:tc>
        <w:tc>
          <w:tcPr>
            <w:tcW w:type="dxa" w:w="3033"/>
          </w:tcPr>
          <w:p>
            <w:r>
              <w:t>Provides a unique, country‑agnostic identifier; configured via Setup → Define Global Employee ID.</w:t>
            </w:r>
          </w:p>
        </w:tc>
      </w:tr>
      <w:tr>
        <w:tc>
          <w:tcPr>
            <w:tcW w:type="dxa" w:w="3033"/>
          </w:tcPr>
          <w:p>
            <w:r>
              <w:t>Languages Enabled</w:t>
            </w:r>
          </w:p>
        </w:tc>
        <w:tc>
          <w:tcPr>
            <w:tcW w:type="dxa" w:w="3033"/>
          </w:tcPr>
          <w:p>
            <w:r>
              <w:t>English (EN), Spanish (ES), French‑Canadian (FR‑CA)</w:t>
            </w:r>
          </w:p>
        </w:tc>
        <w:tc>
          <w:tcPr>
            <w:tcW w:type="dxa" w:w="3033"/>
          </w:tcPr>
          <w:p>
            <w:r>
              <w:t>Activated in Setup → Define Languages; default language set per Legal Entity (EN for USA, ES for Mexico, FR‑CA for Canada).</w:t>
            </w:r>
          </w:p>
        </w:tc>
      </w:tr>
      <w:tr>
        <w:tc>
          <w:tcPr>
            <w:tcW w:type="dxa" w:w="3033"/>
          </w:tcPr>
          <w:p>
            <w:r>
              <w:t>Global Payroll Configuration</w:t>
            </w:r>
          </w:p>
        </w:tc>
        <w:tc>
          <w:tcPr>
            <w:tcW w:type="dxa" w:w="3033"/>
          </w:tcPr>
          <w:p>
            <w:r>
              <w:t>US – ADP, Canada – Ceridian, Mexico – ADP (local)</w:t>
            </w:r>
          </w:p>
        </w:tc>
        <w:tc>
          <w:tcPr>
            <w:tcW w:type="dxa" w:w="3033"/>
          </w:tcPr>
          <w:p>
            <w:r>
              <w:t>Created via Setup → Define Global Payroll; linked to OIC payroll integration endpoints.</w:t>
            </w:r>
          </w:p>
        </w:tc>
      </w:tr>
      <w:tr>
        <w:tc>
          <w:tcPr>
            <w:tcW w:type="dxa" w:w="3033"/>
          </w:tcPr>
          <w:p>
            <w:r>
              <w:t>Security Profile – HR Admin</w:t>
            </w:r>
          </w:p>
        </w:tc>
        <w:tc>
          <w:tcPr>
            <w:tcW w:type="dxa" w:w="3033"/>
          </w:tcPr>
          <w:p>
            <w:r>
              <w:t>HR_ADMIN_GLOBAL</w:t>
            </w:r>
          </w:p>
        </w:tc>
        <w:tc>
          <w:tcPr>
            <w:tcW w:type="dxa" w:w="3033"/>
          </w:tcPr>
          <w:p>
            <w:r>
              <w:t>Grants cross‑entity access to employee master data; defined in Setup → Define Security Profiles.</w:t>
            </w:r>
          </w:p>
        </w:tc>
      </w:tr>
      <w:tr>
        <w:tc>
          <w:tcPr>
            <w:tcW w:type="dxa" w:w="3033"/>
          </w:tcPr>
          <w:p>
            <w:r>
              <w:t>Security Profile – Compensation Manager</w:t>
            </w:r>
          </w:p>
        </w:tc>
        <w:tc>
          <w:tcPr>
            <w:tcW w:type="dxa" w:w="3033"/>
          </w:tcPr>
          <w:p>
            <w:r>
              <w:t>COMP_MGR_COUNTRY</w:t>
            </w:r>
          </w:p>
        </w:tc>
        <w:tc>
          <w:tcPr>
            <w:tcW w:type="dxa" w:w="3033"/>
          </w:tcPr>
          <w:p>
            <w:r>
              <w:t>Restricts compensation changes to the employee’s Legal Entity; supports multi‑level approval workflow.</w:t>
            </w:r>
          </w:p>
        </w:tc>
      </w:tr>
      <w:tr>
        <w:tc>
          <w:tcPr>
            <w:tcW w:type="dxa" w:w="3033"/>
          </w:tcPr>
          <w:p>
            <w:r>
              <w:t>HDL Load Template – Enterprise Structures</w:t>
            </w:r>
          </w:p>
        </w:tc>
        <w:tc>
          <w:tcPr>
            <w:tcW w:type="dxa" w:w="3033"/>
          </w:tcPr>
          <w:p>
            <w:r>
              <w:t>HDL_Enterprise_Structures.csv</w:t>
            </w:r>
          </w:p>
        </w:tc>
        <w:tc>
          <w:tcPr>
            <w:tcW w:type="dxa" w:w="3033"/>
          </w:tcPr>
          <w:p>
            <w:r>
              <w:t>Used for initial bulk load of Legal Entities, Business Units and Global Employee IDs from legacy systems.</w:t>
            </w:r>
          </w:p>
        </w:tc>
      </w:tr>
      <w:tr>
        <w:tc>
          <w:tcPr>
            <w:tcW w:type="dxa" w:w="3033"/>
          </w:tcPr>
          <w:p>
            <w:r>
              <w:t>OIC Event Trigger – Hire</w:t>
            </w:r>
          </w:p>
        </w:tc>
        <w:tc>
          <w:tcPr>
            <w:tcW w:type="dxa" w:w="3033"/>
          </w:tcPr>
          <w:p>
            <w:r>
              <w:t>Publish to Payroll, IT Provisioning, Epic Provider Feed</w:t>
            </w:r>
          </w:p>
        </w:tc>
        <w:tc>
          <w:tcPr>
            <w:tcW w:type="dxa" w:w="3033"/>
          </w:tcPr>
          <w:p>
            <w:r>
              <w:t>Configured in OIC using the Enterprise HCM Information keys as payload identifiers.</w:t>
            </w:r>
          </w:p>
        </w:tc>
      </w:tr>
    </w:tbl>
    <w:p>
      <w:r>
        <w:rPr>
          <w:b/>
        </w:rPr>
        <w:t xml:space="preserve">Configuration Notes: </w:t>
      </w:r>
      <w:r>
        <w:t>1. **Setup and Maintenance → Manage Enterprise HCM Information** – create Legal Entities, Business Units, and assign them to the appropriate Country and Currency.</w:t>
        <w:br/>
        <w:t>2. **Setup and Maintenance → Define Global Employee ID** – configure the ID pattern, enable auto‑generation, and set the ID as the primary key for all HR objects.</w:t>
        <w:br/>
        <w:t>3. **Setup and Maintenance → Define Languages** – activate EN, ES, FR‑CA; assign language defaults at the Legal Entity level.</w:t>
        <w:br/>
        <w:t>4. **Setup and Maintenance → Define Global Payroll** – create one Global Payroll per Legal Entity (US, Canada, Mexico) and link to the respective payroll provider (ADP, Ceridian).</w:t>
        <w:br/>
        <w:t>5. **Setup and Maintenance → Define Security Profiles** – create enterprise‑wide security profiles for HR, Compensation, Benefits and Credentialing teams, ensuring segregation of duties for unionized workforce.</w:t>
        <w:br/>
        <w:t>6. **HDL – HCM Data Loader** – develop initial load templates for Legal Entities, Business Units and Global Employee IDs to migrate data from the six legacy systems.</w:t>
        <w:br/>
        <w:t>7. **OIC Integration** – configure event‑driven integration points (Hire, Transfer, Termination) referencing the newly created enterprise keys.</w:t>
        <w:br/>
        <w:t>All steps must be documented in the project change‑control log and validated with the client’s data‑governance board.</w:t>
      </w:r>
    </w:p>
    <w:p>
      <w:pPr>
        <w:pStyle w:val="Heading2"/>
      </w:pPr>
      <w:r>
        <w:t>3.2 Employment Model</w:t>
      </w:r>
    </w:p>
    <w:p>
      <w:r>
        <w:t>This section defines the logical employment model that will serve as the master structure for all employee‑related data in Fusion Core HR. It outlines how legal entities, business units, employment types, language preferences and credentialing status are organized to support Meridian Health Systems’ multi‑country, unionized, clinical workforce and to enable downstream integrations (payroll, IT provisioning, Epic scheduling). A robust employment model is essential for data consistency, compliance reporting, and real‑time integration triggers.</w:t>
      </w:r>
    </w:p>
    <w:p>
      <w:r>
        <w:rPr>
          <w:b/>
        </w:rPr>
        <w:t xml:space="preserve">Oracle Recommendation: </w:t>
      </w:r>
      <w:r>
        <w:t>Adopt the Oracle Global Employee ID (Person Number) as the golden record, configure a three‑tier hierarchy (Legal Entity → Business Unit → Department), enable multi‑language UI at the Person level, and leverage the Credentialing Integration Framework (HDL + OIC) to surface real‑time Symplr status. Use the standard “Manage Legal Entity HCM Information” and related Setup tasks to enforce country‑specific payroll and benefits rules while maintaining a single source of truth.</w:t>
      </w:r>
    </w:p>
    <w:p>
      <w:r>
        <w:rPr>
          <w:b/>
        </w:rPr>
        <w:t xml:space="preserve">Meridian Health Systems, Inc. Decision: </w:t>
      </w:r>
      <w:r>
        <w:t>Implement a unified employment model with a single Global Person Number, hierarchical legal entity and business unit structure, bilingual (EN/ES) and French‑Canadian UI, and embedded credentialing flags. Configure multi‑level approval workflows for requisitions, compensation changes and terminations, and expose hire/transfer/termination events through OIC to ADP, Ceridian, Benefitfocus and Epic.</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Legal Entities</w:t>
            </w:r>
          </w:p>
        </w:tc>
        <w:tc>
          <w:tcPr>
            <w:tcW w:type="dxa" w:w="3033"/>
          </w:tcPr>
          <w:p>
            <w:r>
              <w:t>Four entities (USA, Canada, Mexico) created via *Manage Legal Entity HCM Information* to support country‑specific payroll and benefits.</w:t>
            </w:r>
          </w:p>
        </w:tc>
      </w:tr>
      <w:tr>
        <w:tc>
          <w:tcPr>
            <w:tcW w:type="dxa" w:w="3033"/>
          </w:tcPr>
          <w:p>
            <w:r>
              <w:t>Configuration Item</w:t>
            </w:r>
          </w:p>
        </w:tc>
        <w:tc>
          <w:tcPr>
            <w:tcW w:type="dxa" w:w="3033"/>
          </w:tcPr>
          <w:p>
            <w:r>
              <w:t>Business Units</w:t>
            </w:r>
          </w:p>
        </w:tc>
        <w:tc>
          <w:tcPr>
            <w:tcW w:type="dxa" w:w="3033"/>
          </w:tcPr>
          <w:p>
            <w:r>
              <w:t>42 units defined under *Manage Business Unit*; each mapped to its legal entity for reporting and security.</w:t>
            </w:r>
          </w:p>
        </w:tc>
      </w:tr>
      <w:tr>
        <w:tc>
          <w:tcPr>
            <w:tcW w:type="dxa" w:w="3033"/>
          </w:tcPr>
          <w:p>
            <w:r>
              <w:t>Configuration Item</w:t>
            </w:r>
          </w:p>
        </w:tc>
        <w:tc>
          <w:tcPr>
            <w:tcW w:type="dxa" w:w="3033"/>
          </w:tcPr>
          <w:p>
            <w:r>
              <w:t>Global Employee ID (Person Number)</w:t>
            </w:r>
          </w:p>
        </w:tc>
        <w:tc>
          <w:tcPr>
            <w:tcW w:type="dxa" w:w="3033"/>
          </w:tcPr>
          <w:p>
            <w:r>
              <w:t>Enabled through *Define Global Person Number*; serves as the golden record across all integrations.</w:t>
            </w:r>
          </w:p>
        </w:tc>
      </w:tr>
      <w:tr>
        <w:tc>
          <w:tcPr>
            <w:tcW w:type="dxa" w:w="3033"/>
          </w:tcPr>
          <w:p>
            <w:r>
              <w:t>Configuration Item</w:t>
            </w:r>
          </w:p>
        </w:tc>
        <w:tc>
          <w:tcPr>
            <w:tcW w:type="dxa" w:w="3033"/>
          </w:tcPr>
          <w:p>
            <w:r>
              <w:t>Employment Types</w:t>
            </w:r>
          </w:p>
        </w:tc>
        <w:tc>
          <w:tcPr>
            <w:tcW w:type="dxa" w:w="3033"/>
          </w:tcPr>
          <w:p>
            <w:r>
              <w:t>Clinical Provider, Nursing Staff, Administrative, Union‑Staff, Contract – created via *Manage Employment Types* and linked to payroll rules per country.</w:t>
            </w:r>
          </w:p>
        </w:tc>
      </w:tr>
      <w:tr>
        <w:tc>
          <w:tcPr>
            <w:tcW w:type="dxa" w:w="3033"/>
          </w:tcPr>
          <w:p>
            <w:r>
              <w:t>Configuration Item</w:t>
            </w:r>
          </w:p>
        </w:tc>
        <w:tc>
          <w:tcPr>
            <w:tcW w:type="dxa" w:w="3033"/>
          </w:tcPr>
          <w:p>
            <w:r>
              <w:t>Language Preference (EN/ES/FR‑CA)</w:t>
            </w:r>
          </w:p>
        </w:tc>
        <w:tc>
          <w:tcPr>
            <w:tcW w:type="dxa" w:w="3033"/>
          </w:tcPr>
          <w:p>
            <w:r>
              <w:t>Configured in *Manage Language Preference*; UI language driven by employee’s preference stored on Person record.</w:t>
            </w:r>
          </w:p>
        </w:tc>
      </w:tr>
      <w:tr>
        <w:tc>
          <w:tcPr>
            <w:tcW w:type="dxa" w:w="3033"/>
          </w:tcPr>
          <w:p>
            <w:r>
              <w:t>Configuration Item</w:t>
            </w:r>
          </w:p>
        </w:tc>
        <w:tc>
          <w:tcPr>
            <w:tcW w:type="dxa" w:w="3033"/>
          </w:tcPr>
          <w:p>
            <w:r>
              <w:t>Credentialing Flag</w:t>
            </w:r>
          </w:p>
        </w:tc>
        <w:tc>
          <w:tcPr>
            <w:tcW w:type="dxa" w:w="3033"/>
          </w:tcPr>
          <w:p>
            <w:r>
              <w:t>Custom attribute populated by HDL load from Symplr; refreshed in real‑time via OIC integration.</w:t>
            </w:r>
          </w:p>
        </w:tc>
      </w:tr>
      <w:tr>
        <w:tc>
          <w:tcPr>
            <w:tcW w:type="dxa" w:w="3033"/>
          </w:tcPr>
          <w:p>
            <w:r>
              <w:t>Configuration Item</w:t>
            </w:r>
          </w:p>
        </w:tc>
        <w:tc>
          <w:tcPr>
            <w:tcW w:type="dxa" w:w="3033"/>
          </w:tcPr>
          <w:p>
            <w:r>
              <w:t>OIC Event‑Driven Integration</w:t>
            </w:r>
          </w:p>
        </w:tc>
        <w:tc>
          <w:tcPr>
            <w:tcW w:type="dxa" w:w="3033"/>
          </w:tcPr>
          <w:p>
            <w:r>
              <w:t>Hire, Transfer, Termination events published from *Manage OIC Integration* to ADP (US), Ceridian (CA), Benefitfocus, and Epic.</w:t>
            </w:r>
          </w:p>
        </w:tc>
      </w:tr>
      <w:tr>
        <w:tc>
          <w:tcPr>
            <w:tcW w:type="dxa" w:w="3033"/>
          </w:tcPr>
          <w:p>
            <w:r>
              <w:t>Configuration Item</w:t>
            </w:r>
          </w:p>
        </w:tc>
        <w:tc>
          <w:tcPr>
            <w:tcW w:type="dxa" w:w="3033"/>
          </w:tcPr>
          <w:p>
            <w:r>
              <w:t>Approval Workflow – Requisition</w:t>
            </w:r>
          </w:p>
        </w:tc>
        <w:tc>
          <w:tcPr>
            <w:tcW w:type="dxa" w:w="3033"/>
          </w:tcPr>
          <w:p>
            <w:r>
              <w:t>Multi‑level rules defined in *Manage Approval Rules*; includes department head, union representative, and HR approver.</w:t>
            </w:r>
          </w:p>
        </w:tc>
      </w:tr>
      <w:tr>
        <w:tc>
          <w:tcPr>
            <w:tcW w:type="dxa" w:w="3033"/>
          </w:tcPr>
          <w:p>
            <w:r>
              <w:t>Configuration Item</w:t>
            </w:r>
          </w:p>
        </w:tc>
        <w:tc>
          <w:tcPr>
            <w:tcW w:type="dxa" w:w="3033"/>
          </w:tcPr>
          <w:p>
            <w:r>
              <w:t>Approval Workflow – Compensation Change</w:t>
            </w:r>
          </w:p>
        </w:tc>
        <w:tc>
          <w:tcPr>
            <w:tcW w:type="dxa" w:w="3033"/>
          </w:tcPr>
          <w:p>
            <w:r>
              <w:t>Three‑tier approval (Manager → Finance → HR) configured via *Manage Approval Rules* to satisfy union and compliance requirements.</w:t>
            </w:r>
          </w:p>
        </w:tc>
      </w:tr>
      <w:tr>
        <w:tc>
          <w:tcPr>
            <w:tcW w:type="dxa" w:w="3033"/>
          </w:tcPr>
          <w:p>
            <w:r>
              <w:t>Configuration Item</w:t>
            </w:r>
          </w:p>
        </w:tc>
        <w:tc>
          <w:tcPr>
            <w:tcW w:type="dxa" w:w="3033"/>
          </w:tcPr>
          <w:p>
            <w:r>
              <w:t>Approval Workflow – Termination</w:t>
            </w:r>
          </w:p>
        </w:tc>
        <w:tc>
          <w:tcPr>
            <w:tcW w:type="dxa" w:w="3033"/>
          </w:tcPr>
          <w:p>
            <w:r>
              <w:t>Automated routing to HR, Legal, and Payroll (ADP/Ceridian) using *Manage Approval Rules*; triggers OIC termination event.</w:t>
            </w:r>
          </w:p>
        </w:tc>
      </w:tr>
    </w:tbl>
    <w:p>
      <w:r>
        <w:rPr>
          <w:b/>
        </w:rPr>
        <w:t xml:space="preserve">Configuration Notes: </w:t>
      </w:r>
      <w:r>
        <w:t>1. **Manage Legal Entity HCM Information** – Create four legal entities (USA, Canada, Mexico) with appropriate country codes and tax regimes.\n2. **Manage Business Unit** – Define 42 Business Units aligned to facilities; assign each to its legal entity.\n3. **Define Global Person Number** – Activate the Global Employee ID option (Setup and Maintenance &gt; Workforce Structures &gt; Define Global Person Number).\n4. **Manage Employment Types** – Create employment types (Clinical Provider, Nursing Staff, Administrative, Union‑Staff, Contract) and map to legal entity payroll rules.\n5. **Manage Language Preference** – Enable language codes EN, ES, FR‑CA at the Person level; configure default language per employee via HCM Experience Design Studio.\n6. **Manage Credentialing Status Integration** – Use HDL to load Symplr credentialing data into the Credentialing Status entity; configure OIC event‑driven integration to update the “Credentialing Flag” attribute on the Person record.\n7. **Configure OIC Integration Framework** – Set up publish/subscribe events for Hire, Transfer, Termination (Setup and Maintenance &gt; Integration &gt; Manage OIC Integration). Map to payroll (ADP, Ceridian), IT provisioning, and Epic.\n8. **Manage Approval Rules** – Create multi‑level approval hierarchies for requisitions, compensation changes and terminations using Setup and Maintenance &gt; Workforce Structures &gt; Manage Approval Rules.\n9. **Configure UI Language Packs** – Deploy English, Spanish and French‑Canadian language packs via HCM Experience Design Studio; associate help content per language.\n10. **Test End‑to‑End Scenarios** – Validate that a new clinical hire triggers: (a) Global Person Number creation, (b) Credentialing status pull from Symplr, (c) OIC events to ADP and Epic, (d) UI displayed in employee’s preferred language.</w:t>
      </w:r>
    </w:p>
    <w:p>
      <w:pPr>
        <w:pStyle w:val="Heading2"/>
      </w:pPr>
      <w:r>
        <w:t>3.3 Department &amp; Department Tree</w:t>
      </w:r>
    </w:p>
    <w:p>
      <w:r>
        <w:t>This section defines the configuration of Departments and the Department Hierarchy (Department Tree) that will serve as the primary organizational structure for Core HR, Compensation, and Benefits. A well‑designed Department Tree enables accurate reporting, proper security segregation, and seamless integration with downstream systems (payroll, OIC, Symplr, Epic). For Meridian Health Systems, the Department hierarchy must support multi‑legal‑entity, multi‑language, and unionized workforce requirements while providing a single source of truth for clinical and non‑clinical staff.</w:t>
      </w:r>
    </w:p>
    <w:p>
      <w:r>
        <w:rPr>
          <w:b/>
        </w:rPr>
        <w:t xml:space="preserve">Oracle Recommendation: </w:t>
      </w:r>
      <w:r>
        <w:t>Oracle best practice recommends using a single, global Department hierarchy that is scoped by Legal Entity and Business Unit. Departments should be created using the **Manage Departments** task, and the hierarchy should be built with **Manage Department Hierarchy**. For multi‑language support, enable the Department Name translation feature (Setup and Maintenance &gt; Manage Translations). Leverage the Department Hierarchy to drive security, workflow routing, and eligibility rules for Compensation and Benefits.</w:t>
      </w:r>
    </w:p>
    <w:p>
      <w:r>
        <w:rPr>
          <w:b/>
        </w:rPr>
        <w:t xml:space="preserve">Meridian Health Systems, Inc. Decision: </w:t>
      </w:r>
      <w:r>
        <w:t>Implement a unified Department Tree for all 42 facilities, organized by Legal Entity → Business Unit → Facility → Clinical Service Line → Sub‑Department. Enable bilingual (EN/ES) and French‑Canadian (FR‑CA) translations for all Department names. Configure department‑level security groups to enforce union rules and credentialing flags. Integrate the Department hierarchy with OIC to propagate department changes to payroll providers and the Symplr credentialing feed.</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Department Code</w:t>
            </w:r>
          </w:p>
        </w:tc>
        <w:tc>
          <w:tcPr>
            <w:tcW w:type="dxa" w:w="3033"/>
          </w:tcPr>
          <w:p>
            <w:r>
              <w:t>6‑character alphanumeric, e.g., US001, CA101, MX200 – ensures uniqueness across legal entities.</w:t>
            </w:r>
          </w:p>
        </w:tc>
      </w:tr>
      <w:tr>
        <w:tc>
          <w:tcPr>
            <w:tcW w:type="dxa" w:w="3033"/>
          </w:tcPr>
          <w:p>
            <w:r>
              <w:t>Configuration Item</w:t>
            </w:r>
          </w:p>
        </w:tc>
        <w:tc>
          <w:tcPr>
            <w:tcW w:type="dxa" w:w="3033"/>
          </w:tcPr>
          <w:p>
            <w:r>
              <w:t>Department Name (English)</w:t>
            </w:r>
          </w:p>
        </w:tc>
        <w:tc>
          <w:tcPr>
            <w:tcW w:type="dxa" w:w="3033"/>
          </w:tcPr>
          <w:p>
            <w:r>
              <w:t>Primary display name; used for all English UI screens.</w:t>
            </w:r>
          </w:p>
        </w:tc>
      </w:tr>
      <w:tr>
        <w:tc>
          <w:tcPr>
            <w:tcW w:type="dxa" w:w="3033"/>
          </w:tcPr>
          <w:p>
            <w:r>
              <w:t>Configuration Item</w:t>
            </w:r>
          </w:p>
        </w:tc>
        <w:tc>
          <w:tcPr>
            <w:tcW w:type="dxa" w:w="3033"/>
          </w:tcPr>
          <w:p>
            <w:r>
              <w:t>Department Name (Spanish)</w:t>
            </w:r>
          </w:p>
        </w:tc>
        <w:tc>
          <w:tcPr>
            <w:tcW w:type="dxa" w:w="3033"/>
          </w:tcPr>
          <w:p>
            <w:r>
              <w:t>Spanish translation entered via Manage Translations; required for 2,100 Spanish‑speaking staff.</w:t>
            </w:r>
          </w:p>
        </w:tc>
      </w:tr>
      <w:tr>
        <w:tc>
          <w:tcPr>
            <w:tcW w:type="dxa" w:w="3033"/>
          </w:tcPr>
          <w:p>
            <w:r>
              <w:t>Configuration Item</w:t>
            </w:r>
          </w:p>
        </w:tc>
        <w:tc>
          <w:tcPr>
            <w:tcW w:type="dxa" w:w="3033"/>
          </w:tcPr>
          <w:p>
            <w:r>
              <w:t>Department Name (French‑Canadian)</w:t>
            </w:r>
          </w:p>
        </w:tc>
        <w:tc>
          <w:tcPr>
            <w:tcW w:type="dxa" w:w="3033"/>
          </w:tcPr>
          <w:p>
            <w:r>
              <w:t>French‑Canadian translation for 490 French‑speaking staff.</w:t>
            </w:r>
          </w:p>
        </w:tc>
      </w:tr>
      <w:tr>
        <w:tc>
          <w:tcPr>
            <w:tcW w:type="dxa" w:w="3033"/>
          </w:tcPr>
          <w:p>
            <w:r>
              <w:t>Configuration Item</w:t>
            </w:r>
          </w:p>
        </w:tc>
        <w:tc>
          <w:tcPr>
            <w:tcW w:type="dxa" w:w="3033"/>
          </w:tcPr>
          <w:p>
            <w:r>
              <w:t>Parent Department</w:t>
            </w:r>
          </w:p>
        </w:tc>
        <w:tc>
          <w:tcPr>
            <w:tcW w:type="dxa" w:w="3033"/>
          </w:tcPr>
          <w:p>
            <w:r>
              <w:t>Defines the hierarchy; top‑level parent is the Legal Entity.</w:t>
            </w:r>
          </w:p>
        </w:tc>
      </w:tr>
      <w:tr>
        <w:tc>
          <w:tcPr>
            <w:tcW w:type="dxa" w:w="3033"/>
          </w:tcPr>
          <w:p>
            <w:r>
              <w:t>Configuration Item</w:t>
            </w:r>
          </w:p>
        </w:tc>
        <w:tc>
          <w:tcPr>
            <w:tcW w:type="dxa" w:w="3033"/>
          </w:tcPr>
          <w:p>
            <w:r>
              <w:t>Legal Entity</w:t>
            </w:r>
          </w:p>
        </w:tc>
        <w:tc>
          <w:tcPr>
            <w:tcW w:type="dxa" w:w="3033"/>
          </w:tcPr>
          <w:p>
            <w:r>
              <w:t>Mapped to one of the four legal entities (USA, Canada, Mexico).</w:t>
            </w:r>
          </w:p>
        </w:tc>
      </w:tr>
      <w:tr>
        <w:tc>
          <w:tcPr>
            <w:tcW w:type="dxa" w:w="3033"/>
          </w:tcPr>
          <w:p>
            <w:r>
              <w:t>Configuration Item</w:t>
            </w:r>
          </w:p>
        </w:tc>
        <w:tc>
          <w:tcPr>
            <w:tcW w:type="dxa" w:w="3033"/>
          </w:tcPr>
          <w:p>
            <w:r>
              <w:t>Business Unit</w:t>
            </w:r>
          </w:p>
        </w:tc>
        <w:tc>
          <w:tcPr>
            <w:tcW w:type="dxa" w:w="3033"/>
          </w:tcPr>
          <w:p>
            <w:r>
              <w:t>Aligns with existing Business Units (e.g., Acute Care, Ambulatory, Corporate).</w:t>
            </w:r>
          </w:p>
        </w:tc>
      </w:tr>
      <w:tr>
        <w:tc>
          <w:tcPr>
            <w:tcW w:type="dxa" w:w="3033"/>
          </w:tcPr>
          <w:p>
            <w:r>
              <w:t>Configuration Item</w:t>
            </w:r>
          </w:p>
        </w:tc>
        <w:tc>
          <w:tcPr>
            <w:tcW w:type="dxa" w:w="3033"/>
          </w:tcPr>
          <w:p>
            <w:r>
              <w:t>Facility (Location)</w:t>
            </w:r>
          </w:p>
        </w:tc>
        <w:tc>
          <w:tcPr>
            <w:tcW w:type="dxa" w:w="3033"/>
          </w:tcPr>
          <w:p>
            <w:r>
              <w:t>Facility code from the master location list; enables site‑level reporting.</w:t>
            </w:r>
          </w:p>
        </w:tc>
      </w:tr>
      <w:tr>
        <w:tc>
          <w:tcPr>
            <w:tcW w:type="dxa" w:w="3033"/>
          </w:tcPr>
          <w:p>
            <w:r>
              <w:t>Configuration Item</w:t>
            </w:r>
          </w:p>
        </w:tc>
        <w:tc>
          <w:tcPr>
            <w:tcW w:type="dxa" w:w="3033"/>
          </w:tcPr>
          <w:p>
            <w:r>
              <w:t>Service Line</w:t>
            </w:r>
          </w:p>
        </w:tc>
        <w:tc>
          <w:tcPr>
            <w:tcW w:type="dxa" w:w="3033"/>
          </w:tcPr>
          <w:p>
            <w:r>
              <w:t>Clinical service line (e.g., Cardiology, Oncology) – used for credentialing gating.</w:t>
            </w:r>
          </w:p>
        </w:tc>
      </w:tr>
      <w:tr>
        <w:tc>
          <w:tcPr>
            <w:tcW w:type="dxa" w:w="3033"/>
          </w:tcPr>
          <w:p>
            <w:r>
              <w:t>Configuration Item</w:t>
            </w:r>
          </w:p>
        </w:tc>
        <w:tc>
          <w:tcPr>
            <w:tcW w:type="dxa" w:w="3033"/>
          </w:tcPr>
          <w:p>
            <w:r>
              <w:t>Union Affiliation Flag</w:t>
            </w:r>
          </w:p>
        </w:tc>
        <w:tc>
          <w:tcPr>
            <w:tcW w:type="dxa" w:w="3033"/>
          </w:tcPr>
          <w:p>
            <w:r>
              <w:t>Boolean flag; drives union‑specific security and workflow routing.</w:t>
            </w:r>
          </w:p>
        </w:tc>
      </w:tr>
      <w:tr>
        <w:tc>
          <w:tcPr>
            <w:tcW w:type="dxa" w:w="3033"/>
          </w:tcPr>
          <w:p>
            <w:r>
              <w:t>Configuration Item</w:t>
            </w:r>
          </w:p>
        </w:tc>
        <w:tc>
          <w:tcPr>
            <w:tcW w:type="dxa" w:w="3033"/>
          </w:tcPr>
          <w:p>
            <w:r>
              <w:t>Credentialing Required Flag</w:t>
            </w:r>
          </w:p>
        </w:tc>
        <w:tc>
          <w:tcPr>
            <w:tcW w:type="dxa" w:w="3033"/>
          </w:tcPr>
          <w:p>
            <w:r>
              <w:t>Boolean flag; when true, OIC integration checks Symplr status before allowing scheduling.</w:t>
            </w:r>
          </w:p>
        </w:tc>
      </w:tr>
      <w:tr>
        <w:tc>
          <w:tcPr>
            <w:tcW w:type="dxa" w:w="3033"/>
          </w:tcPr>
          <w:p>
            <w:r>
              <w:t>Configuration Item</w:t>
            </w:r>
          </w:p>
        </w:tc>
        <w:tc>
          <w:tcPr>
            <w:tcW w:type="dxa" w:w="3033"/>
          </w:tcPr>
          <w:p>
            <w:r>
              <w:t>Eligibility for Compensation Grade</w:t>
            </w:r>
          </w:p>
        </w:tc>
        <w:tc>
          <w:tcPr>
            <w:tcW w:type="dxa" w:w="3033"/>
          </w:tcPr>
          <w:p>
            <w:r>
              <w:t>Mapped via Setup and Maintenance &gt; Manage Compensation Grades – ensures correct grade assignment per department.</w:t>
            </w:r>
          </w:p>
        </w:tc>
      </w:tr>
      <w:tr>
        <w:tc>
          <w:tcPr>
            <w:tcW w:type="dxa" w:w="3033"/>
          </w:tcPr>
          <w:p>
            <w:r>
              <w:t>Configuration Item</w:t>
            </w:r>
          </w:p>
        </w:tc>
        <w:tc>
          <w:tcPr>
            <w:tcW w:type="dxa" w:w="3033"/>
          </w:tcPr>
          <w:p>
            <w:r>
              <w:t>Eligibility for Benefit Plan</w:t>
            </w:r>
          </w:p>
        </w:tc>
        <w:tc>
          <w:tcPr>
            <w:tcW w:type="dxa" w:w="3033"/>
          </w:tcPr>
          <w:p>
            <w:r>
              <w:t>Mapped via Setup and Maintenance &gt; Manage Benefit Plans – supports department‑specific benefit eligibility.</w:t>
            </w:r>
          </w:p>
        </w:tc>
      </w:tr>
      <w:tr>
        <w:tc>
          <w:tcPr>
            <w:tcW w:type="dxa" w:w="3033"/>
          </w:tcPr>
          <w:p>
            <w:r>
              <w:t>Configuration Item</w:t>
            </w:r>
          </w:p>
        </w:tc>
        <w:tc>
          <w:tcPr>
            <w:tcW w:type="dxa" w:w="3033"/>
          </w:tcPr>
          <w:p>
            <w:r>
              <w:t>Security Group Assignment</w:t>
            </w:r>
          </w:p>
        </w:tc>
        <w:tc>
          <w:tcPr>
            <w:tcW w:type="dxa" w:w="3033"/>
          </w:tcPr>
          <w:p>
            <w:r>
              <w:t>Assign department‑level security groups (e.g., HR_Admin, Clinical_Staff) to enforce data access.</w:t>
            </w:r>
          </w:p>
        </w:tc>
      </w:tr>
      <w:tr>
        <w:tc>
          <w:tcPr>
            <w:tcW w:type="dxa" w:w="3033"/>
          </w:tcPr>
          <w:p>
            <w:r>
              <w:t>Configuration Item</w:t>
            </w:r>
          </w:p>
        </w:tc>
        <w:tc>
          <w:tcPr>
            <w:tcW w:type="dxa" w:w="3033"/>
          </w:tcPr>
          <w:p>
            <w:r>
              <w:t>OIC Event Subscription</w:t>
            </w:r>
          </w:p>
        </w:tc>
        <w:tc>
          <w:tcPr>
            <w:tcW w:type="dxa" w:w="3033"/>
          </w:tcPr>
          <w:p>
            <w:r>
              <w:t>Enable Department Change events in OIC to trigger downstream payroll and credentialing updates.</w:t>
            </w:r>
          </w:p>
        </w:tc>
      </w:tr>
    </w:tbl>
    <w:p>
      <w:r>
        <w:rPr>
          <w:b/>
        </w:rPr>
        <w:t xml:space="preserve">Configuration Notes: </w:t>
      </w:r>
      <w:r>
        <w:t>1. **Setup and Maintenance &gt; Manage Departments** – Create all Department records with unique Department Codes (6‑character alphanumeric). 2. **Setup and Maintenance &gt; Manage Department Hierarchy** – Build the tree using the parent‑child relationships defined in the design matrix. 3. **Setup and Maintenance &gt; Manage Translations** – Add EN, ES, and FR‑CA translations for each Department Name. 4. **Setup and Maintenance &gt; Define Department Security** – Assign department‑level security groups (e.g., Union‑A, Union‑B, Clinical‑Credentialed). 5. **Setup and Maintenance &gt; Configure Department‑Based Eligibility Rules** – Link Departments to Compensation Grades and Benefit Plans. 6. **Integration Cloud Service (OIC)** – Create integration maps for Department create/update/delete events to ADP, Ceridian, and Symplr. 7. **HCM Data Loader (HDL)** – Load legacy department data using the HDL template **HDL_DEPARTMENTS** and **HDL_DEPARTMENT_HIERARCHY** for the cut‑over.</w:t>
      </w:r>
    </w:p>
    <w:p>
      <w:pPr>
        <w:pStyle w:val="Heading2"/>
      </w:pPr>
      <w:r>
        <w:t>3.4 Location</w:t>
      </w:r>
    </w:p>
    <w:p>
      <w:r>
        <w:t>This section documents the design and configuration of the Location hierarchy in Oracle Fusion HCM. Locations are the foundational geographic entities that support payroll, benefits, time‑and‑attendance, credentialing, and UI language assignment. Accurate location setup is critical for Meridian Health Systems to enable multi‑country compliance, correct payroll provider routing, and bilingual UI rendering for Spanish‑ and French‑Canadian employees.</w:t>
      </w:r>
    </w:p>
    <w:p>
      <w:r>
        <w:rPr>
          <w:b/>
        </w:rPr>
        <w:t xml:space="preserve">Oracle Recommendation: </w:t>
      </w:r>
      <w:r>
        <w:t>Oracle best practice for a multi‑country, multi‑legal‑entity health system is to model Locations at three levels – Country, Region (State/Province), and Facility – and to associate each Facility with a Business Unit and a Legal Entity. Enable the "Location Language" attribute to drive language‑specific UI and help content. Use the standard "Manage Locations" task (Setup and Maintenance &gt; Workforce Structures &gt; Manage Locations) and activate the "Location Hierarchy" feature to support OIC event‑driven integration filters.</w:t>
      </w:r>
    </w:p>
    <w:p>
      <w:r>
        <w:rPr>
          <w:b/>
        </w:rPr>
        <w:t xml:space="preserve">Meridian Health Systems, Inc. Decision: </w:t>
      </w:r>
      <w:r>
        <w:t>Implement a three‑tier Location hierarchy (Country → Region → Facility) for all 42 facilities across the USA, Canada, and Mexico. Assign each Facility a unique Location Code, link it to the appropriate Business Unit and Legal Entity, and configure the Language attribute (EN, ES, FR‑CA) for the 2,590 employees requiring non‑English UI. Enable the Location‑Based Payroll Provider mapping to route US employees to ADP, Canadian employees to Ceridian, and Mexican employees to the in‑house payroll engine.</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Location Type</w:t>
            </w:r>
          </w:p>
        </w:tc>
        <w:tc>
          <w:tcPr>
            <w:tcW w:type="dxa" w:w="3033"/>
          </w:tcPr>
          <w:p>
            <w:r>
              <w:t>Facility – required to capture site‑specific payroll, benefits, and credentialing rules</w:t>
            </w:r>
          </w:p>
        </w:tc>
      </w:tr>
      <w:tr>
        <w:tc>
          <w:tcPr>
            <w:tcW w:type="dxa" w:w="3033"/>
          </w:tcPr>
          <w:p>
            <w:r>
              <w:t>Configuration Item</w:t>
            </w:r>
          </w:p>
        </w:tc>
        <w:tc>
          <w:tcPr>
            <w:tcW w:type="dxa" w:w="3033"/>
          </w:tcPr>
          <w:p>
            <w:r>
              <w:t>Location Code Format</w:t>
            </w:r>
          </w:p>
        </w:tc>
        <w:tc>
          <w:tcPr>
            <w:tcW w:type="dxa" w:w="3033"/>
          </w:tcPr>
          <w:p>
            <w:r>
              <w:t>LLL‑CC‑NNN (e.g., US‑CA‑001) – ensures uniqueness across legal entities and supports integration key mapping</w:t>
            </w:r>
          </w:p>
        </w:tc>
      </w:tr>
      <w:tr>
        <w:tc>
          <w:tcPr>
            <w:tcW w:type="dxa" w:w="3033"/>
          </w:tcPr>
          <w:p>
            <w:r>
              <w:t>Configuration Item</w:t>
            </w:r>
          </w:p>
        </w:tc>
        <w:tc>
          <w:tcPr>
            <w:tcW w:type="dxa" w:w="3033"/>
          </w:tcPr>
          <w:p>
            <w:r>
              <w:t>Legal Entity Assignment</w:t>
            </w:r>
          </w:p>
        </w:tc>
        <w:tc>
          <w:tcPr>
            <w:tcW w:type="dxa" w:w="3033"/>
          </w:tcPr>
          <w:p>
            <w:r>
              <w:t>USA = US‑LE, Canada = CA‑LE, Mexico = MX‑LE – aligns with global employee ID and OIC routing</w:t>
            </w:r>
          </w:p>
        </w:tc>
      </w:tr>
      <w:tr>
        <w:tc>
          <w:tcPr>
            <w:tcW w:type="dxa" w:w="3033"/>
          </w:tcPr>
          <w:p>
            <w:r>
              <w:t>Configuration Item</w:t>
            </w:r>
          </w:p>
        </w:tc>
        <w:tc>
          <w:tcPr>
            <w:tcW w:type="dxa" w:w="3033"/>
          </w:tcPr>
          <w:p>
            <w:r>
              <w:t>Business Unit Assignment</w:t>
            </w:r>
          </w:p>
        </w:tc>
        <w:tc>
          <w:tcPr>
            <w:tcW w:type="dxa" w:w="3033"/>
          </w:tcPr>
          <w:p>
            <w:r>
              <w:t>Map each facility to its operating Business Unit for cost‑center reporting and workforce analytics</w:t>
            </w:r>
          </w:p>
        </w:tc>
      </w:tr>
      <w:tr>
        <w:tc>
          <w:tcPr>
            <w:tcW w:type="dxa" w:w="3033"/>
          </w:tcPr>
          <w:p>
            <w:r>
              <w:t>Configuration Item</w:t>
            </w:r>
          </w:p>
        </w:tc>
        <w:tc>
          <w:tcPr>
            <w:tcW w:type="dxa" w:w="3033"/>
          </w:tcPr>
          <w:p>
            <w:r>
              <w:t>Location Language</w:t>
            </w:r>
          </w:p>
        </w:tc>
        <w:tc>
          <w:tcPr>
            <w:tcW w:type="dxa" w:w="3033"/>
          </w:tcPr>
          <w:p>
            <w:r>
              <w:t>EN for US, EN/ES for Canadian facilities with Spanish staff, FR‑CA for Quebec facilities – drives UI language selection</w:t>
            </w:r>
          </w:p>
        </w:tc>
      </w:tr>
      <w:tr>
        <w:tc>
          <w:tcPr>
            <w:tcW w:type="dxa" w:w="3033"/>
          </w:tcPr>
          <w:p>
            <w:r>
              <w:t>Configuration Item</w:t>
            </w:r>
          </w:p>
        </w:tc>
        <w:tc>
          <w:tcPr>
            <w:tcW w:type="dxa" w:w="3033"/>
          </w:tcPr>
          <w:p>
            <w:r>
              <w:t>Payroll Provider Mapping</w:t>
            </w:r>
          </w:p>
        </w:tc>
        <w:tc>
          <w:tcPr>
            <w:tcW w:type="dxa" w:w="3033"/>
          </w:tcPr>
          <w:p>
            <w:r>
              <w:t>US facilities → ADP, Canadian facilities → Ceridian, Mexican facilities → In‑house payroll – configured via Payroll Provider Setup</w:t>
            </w:r>
          </w:p>
        </w:tc>
      </w:tr>
      <w:tr>
        <w:tc>
          <w:tcPr>
            <w:tcW w:type="dxa" w:w="3033"/>
          </w:tcPr>
          <w:p>
            <w:r>
              <w:t>Configuration Item</w:t>
            </w:r>
          </w:p>
        </w:tc>
        <w:tc>
          <w:tcPr>
            <w:tcW w:type="dxa" w:w="3033"/>
          </w:tcPr>
          <w:p>
            <w:r>
              <w:t>Location Hierarchy Activation</w:t>
            </w:r>
          </w:p>
        </w:tc>
        <w:tc>
          <w:tcPr>
            <w:tcW w:type="dxa" w:w="3033"/>
          </w:tcPr>
          <w:p>
            <w:r>
              <w:t>Enable to support OIC event filters and reporting; parent‑child relationships defined in Define Location Hierarchy</w:t>
            </w:r>
          </w:p>
        </w:tc>
      </w:tr>
      <w:tr>
        <w:tc>
          <w:tcPr>
            <w:tcW w:type="dxa" w:w="3033"/>
          </w:tcPr>
          <w:p>
            <w:r>
              <w:t>Configuration Item</w:t>
            </w:r>
          </w:p>
        </w:tc>
        <w:tc>
          <w:tcPr>
            <w:tcW w:type="dxa" w:w="3033"/>
          </w:tcPr>
          <w:p>
            <w:r>
              <w:t>Credentialing Flag Integration</w:t>
            </w:r>
          </w:p>
        </w:tc>
        <w:tc>
          <w:tcPr>
            <w:tcW w:type="dxa" w:w="3033"/>
          </w:tcPr>
          <w:p>
            <w:r>
              <w:t>Add custom attribute ‘Credentialing Status’ at Facility level; consumed by Symplr integration via OIC</w:t>
            </w:r>
          </w:p>
        </w:tc>
      </w:tr>
    </w:tbl>
    <w:p>
      <w:r>
        <w:rPr>
          <w:b/>
        </w:rPr>
        <w:t xml:space="preserve">Configuration Notes: </w:t>
      </w:r>
      <w:r>
        <w:t>1. Navigate to **Setup and Maintenance** → **Workforce Structures** → **Manage Locations**.</w:t>
        <w:br/>
        <w:t>2. Click **Create** and select **Location Type = Facility**; fill in **Location Code**, **Location Name**, **Country**, **Region**, **City**, **Postal Code**.</w:t>
        <w:br/>
        <w:t>3. In the **Location Details** tab, set **Legal Entity** (USA, Canada, Mexico) and **Business Unit** (per operating unit).</w:t>
        <w:br/>
        <w:t>4. Populate the **Location Language** field: EN for US facilities, EN/ES for Canadian facilities with Spanish‑speaking staff, FR‑CA for Quebec facilities.</w:t>
        <w:br/>
        <w:t>5. Activate **Location Hierarchy** (Setup and Maintenance &gt; Workforce Structures &gt; Define Location Hierarchy) and map each Facility to its parent Region and Country.</w:t>
        <w:br/>
        <w:t>6. Enable **Payroll Provider Mapping** (Setup and Maintenance &gt; Payroll &gt; Payroll Provider Setup) and associate each Legal Entity/Location combination with the correct external payroll provider.</w:t>
        <w:br/>
        <w:t>7. Validate with **Run Payroll Provider Validation** and **Test OIC Integration** for hire/termination events.</w:t>
        <w:br/>
        <w:t>8. Document all Location records in the **Location Master Data Load** template for future HDL loads.</w:t>
        <w:br/>
        <w:t>9. Run **Validate Location Data** (Setup and Maintenance &gt; Workforce Structures &gt; Validate Locations) to ensure no duplicate codes or missing mandatory fields.</w:t>
        <w:br/>
        <w:t>10. Communicate the Location Code conventions to the data governance team for ongoing master data management.</w:t>
      </w:r>
    </w:p>
    <w:p>
      <w:pPr>
        <w:pStyle w:val="Heading2"/>
      </w:pPr>
      <w:r>
        <w:t>3.5 Job Family</w:t>
      </w:r>
    </w:p>
    <w:p>
      <w:r>
        <w:t>This section defines the configuration of Job Families that serve as the primary taxonomy for classifying positions across Meridian Health Systems’ multi‑entity, multi‑country environment. Job Families enable consistent reporting, compensation structures, eligibility rules, and integration with credentialing and scheduling systems. Proper design ensures a single source of truth for the employee master, supports bilingual UI, and aligns with union and clinical credentialing requirements.</w:t>
      </w:r>
    </w:p>
    <w:p>
      <w:r>
        <w:rPr>
          <w:b/>
        </w:rPr>
        <w:t xml:space="preserve">Oracle Recommendation: </w:t>
      </w:r>
      <w:r>
        <w:t>Oracle best practice for a highly regulated, multi‑country healthcare organization is to create a global Job Family hierarchy anchored to functional domains (e.g., Clinical, Administrative, Support) and then extend with country‑specific sub‑families to accommodate union contracts and language localization. Leverage the "Manage Job Families" task, enable multi‑level hierarchy, and activate language translations (EN, ES, FR‑CA) via the HCM Experience Design Studio.</w:t>
      </w:r>
    </w:p>
    <w:p>
      <w:r>
        <w:rPr>
          <w:b/>
        </w:rPr>
        <w:t xml:space="preserve">Meridian Health Systems, Inc. Decision: </w:t>
      </w:r>
      <w:r>
        <w:t>Implement a three‑tier Job Family hierarchy (Global Functional Domain → Country/Region Sub‑Family → Specialty/Union Sub‑Family). Define 12 Global Job Families (e.g., Clinical‑Physician, Clinical‑Nurse, Clinical‑Allied Health, Administrative‑Finance, Administrative‑HR, Support‑Facilities, Support‑IT, etc.) and create localized sub‑families for the USA, Canada, and Mexico. Enable bilingual (English/Spanish) and French‑Canadian labels for all families to satisfy UI language requirements. Associate each Job Family with the appropriate Compensation Grade and Credentialing Flag to drive downstream processes.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Number of Global Job Families</w:t>
            </w:r>
          </w:p>
        </w:tc>
        <w:tc>
          <w:tcPr>
            <w:tcW w:type="dxa" w:w="3033"/>
          </w:tcPr>
          <w:p>
            <w:r>
              <w:t>12</w:t>
            </w:r>
          </w:p>
        </w:tc>
        <w:tc>
          <w:tcPr>
            <w:tcW w:type="dxa" w:w="3033"/>
          </w:tcPr>
          <w:p>
            <w:r>
              <w:t>Covers all functional domains; aligns with Oracle recommended limit for optimal performance.</w:t>
            </w:r>
          </w:p>
        </w:tc>
      </w:tr>
      <w:tr>
        <w:tc>
          <w:tcPr>
            <w:tcW w:type="dxa" w:w="3033"/>
          </w:tcPr>
          <w:p>
            <w:r>
              <w:t>Job Family Hierarchy Levels</w:t>
            </w:r>
          </w:p>
        </w:tc>
        <w:tc>
          <w:tcPr>
            <w:tcW w:type="dxa" w:w="3033"/>
          </w:tcPr>
          <w:p>
            <w:r>
              <w:t>3 (Global → Country/Region → Specialty/Union)</w:t>
            </w:r>
          </w:p>
        </w:tc>
        <w:tc>
          <w:tcPr>
            <w:tcW w:type="dxa" w:w="3033"/>
          </w:tcPr>
          <w:p>
            <w:r>
              <w:t>Supports multi‑entity reporting, union contracts, and clinical specialty mapping.</w:t>
            </w:r>
          </w:p>
        </w:tc>
      </w:tr>
      <w:tr>
        <w:tc>
          <w:tcPr>
            <w:tcW w:type="dxa" w:w="3033"/>
          </w:tcPr>
          <w:p>
            <w:r>
              <w:t>Language Translations Enabled</w:t>
            </w:r>
          </w:p>
        </w:tc>
        <w:tc>
          <w:tcPr>
            <w:tcW w:type="dxa" w:w="3033"/>
          </w:tcPr>
          <w:p>
            <w:r>
              <w:t>EN, ES, FR‑CA</w:t>
            </w:r>
          </w:p>
        </w:tc>
        <w:tc>
          <w:tcPr>
            <w:tcW w:type="dxa" w:w="3033"/>
          </w:tcPr>
          <w:p>
            <w:r>
              <w:t>Meets bilingual UI requirement for 2,590 employees; configured via Manage Job Family Languages.</w:t>
            </w:r>
          </w:p>
        </w:tc>
      </w:tr>
      <w:tr>
        <w:tc>
          <w:tcPr>
            <w:tcW w:type="dxa" w:w="3033"/>
          </w:tcPr>
          <w:p>
            <w:r>
              <w:t>Credentialing Flag Attribute</w:t>
            </w:r>
          </w:p>
        </w:tc>
        <w:tc>
          <w:tcPr>
            <w:tcW w:type="dxa" w:w="3033"/>
          </w:tcPr>
          <w:p>
            <w:r>
              <w:t>Custom Boolean (Y/N)</w:t>
            </w:r>
          </w:p>
        </w:tc>
        <w:tc>
          <w:tcPr>
            <w:tcW w:type="dxa" w:w="3033"/>
          </w:tcPr>
          <w:p>
            <w:r>
              <w:t>Used by Symplr integration to gate scheduling; created in Manage Job Family Attributes.</w:t>
            </w:r>
          </w:p>
        </w:tc>
      </w:tr>
      <w:tr>
        <w:tc>
          <w:tcPr>
            <w:tcW w:type="dxa" w:w="3033"/>
          </w:tcPr>
          <w:p>
            <w:r>
              <w:t>Compensation Grade Assignment</w:t>
            </w:r>
          </w:p>
        </w:tc>
        <w:tc>
          <w:tcPr>
            <w:tcW w:type="dxa" w:w="3033"/>
          </w:tcPr>
          <w:p>
            <w:r>
              <w:t>Mapped to each Job Family via Assign Compensation Grades to Job Families</w:t>
            </w:r>
          </w:p>
        </w:tc>
        <w:tc>
          <w:tcPr>
            <w:tcW w:type="dxa" w:w="3033"/>
          </w:tcPr>
          <w:p>
            <w:r>
              <w:t>Ensures compensation structures are consistent across entities and unions.</w:t>
            </w:r>
          </w:p>
        </w:tc>
      </w:tr>
      <w:tr>
        <w:tc>
          <w:tcPr>
            <w:tcW w:type="dxa" w:w="3033"/>
          </w:tcPr>
          <w:p>
            <w:r>
              <w:t>Integration Identifier</w:t>
            </w:r>
          </w:p>
        </w:tc>
        <w:tc>
          <w:tcPr>
            <w:tcW w:type="dxa" w:w="3033"/>
          </w:tcPr>
          <w:p>
            <w:r>
              <w:t>Job_Family_ID (Primary Key)</w:t>
            </w:r>
          </w:p>
        </w:tc>
        <w:tc>
          <w:tcPr>
            <w:tcW w:type="dxa" w:w="3033"/>
          </w:tcPr>
          <w:p>
            <w:r>
              <w:t>Used as foreign key in OIC payloads for hire/transfer/termination events.</w:t>
            </w:r>
          </w:p>
        </w:tc>
      </w:tr>
      <w:tr>
        <w:tc>
          <w:tcPr>
            <w:tcW w:type="dxa" w:w="3033"/>
          </w:tcPr>
          <w:p>
            <w:r>
              <w:t>Setup Task Reference</w:t>
            </w:r>
          </w:p>
        </w:tc>
        <w:tc>
          <w:tcPr>
            <w:tcW w:type="dxa" w:w="3033"/>
          </w:tcPr>
          <w:p>
            <w:r>
              <w:t>Manage Job Families (Setup and Maintenance)</w:t>
            </w:r>
          </w:p>
        </w:tc>
        <w:tc>
          <w:tcPr>
            <w:tcW w:type="dxa" w:w="3033"/>
          </w:tcPr>
          <w:p>
            <w:r>
              <w:t>All configuration steps executed under this task.</w:t>
            </w:r>
          </w:p>
        </w:tc>
      </w:tr>
    </w:tbl>
    <w:p>
      <w:r>
        <w:rPr>
          <w:b/>
        </w:rPr>
        <w:t xml:space="preserve">Configuration Notes: </w:t>
      </w:r>
      <w:r>
        <w:t>1. Navigate to **Setup and Maintenance** → **Task: Manage Job Families**.</w:t>
        <w:br/>
        <w:t>2. Click **Create** → **Define Job Family** and enter the Global Job Family name (e.g., "Clinical‑Physician").</w:t>
        <w:br/>
        <w:t>3. Set **Job Family Type** = "Global" and **Effective Start Date** = project go‑live date.</w:t>
        <w:br/>
        <w:t>4. Under **Hierarchy**, select **Parent Job Family** = None for top‑level families.</w:t>
        <w:br/>
        <w:t>5. Save and repeat for all 12 Global families.</w:t>
        <w:br/>
        <w:t>6. For each country, run **Task: Define Job Family Segments** to create child families (e.g., "Clinical‑Physician‑US", "Clinical‑Physician‑CA", "Clinical‑Physician‑MX").</w:t>
        <w:br/>
        <w:t>7. In **Task: Define Job Family Languages**, add translations for ES and FR‑CA using the language codes (es, fr-CA).</w:t>
        <w:br/>
        <w:t>8. Activate **Job Family – Credentialing Flag** (custom attribute) via **Task: Manage Job Family Attributes**; map to Symplr integration payload.</w:t>
        <w:br/>
        <w:t>9. Link Job Families to Compensation Grades using **Task: Assign Compensation Grades to Job Families**.</w:t>
        <w:br/>
        <w:t>10. Validate hierarchy with **Task: Validate Job Family Hierarchy** and run **HDL – HCM Data Loader** test load for a sample set of positions.</w:t>
        <w:br/>
        <w:t>11. Document all Job Family IDs in the design matrix for downstream OIC integration mappings (Hire/Transfer/Termination events).</w:t>
      </w:r>
    </w:p>
    <w:p>
      <w:pPr>
        <w:pStyle w:val="Heading2"/>
      </w:pPr>
      <w:r>
        <w:t>3.6 Job Structure</w:t>
      </w:r>
    </w:p>
    <w:p>
      <w:r>
        <w:t>This section defines the configuration of Jobs, Job Families, Job Levels, and Job Classifications that constitute the master data hierarchy for all employees across Meridian Health Systems’ four legal entities. A robust job structure enables consistent workforce analytics, accurate compensation planning, seamless integration with payroll providers, and supports the credentialing gating logic required for clinical scheduling.</w:t>
      </w:r>
    </w:p>
    <w:p>
      <w:r>
        <w:rPr>
          <w:b/>
        </w:rPr>
        <w:t xml:space="preserve">Oracle Recommendation: </w:t>
      </w:r>
      <w:r>
        <w:t>Implement a global Job hierarchy using the Oracle Fusion HCM standard hierarchy model (Setup and Maintenance &gt; Workforce Structures &gt; Manage Jobs). Create separate Job Families for Clinical, Administrative, Support, and Unionized staff, and define localized Job Titles per language (EN/ES/FR-CA) using the Language Translation feature. Leverage Job Levels to map to compensation grades and to drive multi‑level approval workflows. Align Job Classifications with the union collective bargaining agreements and the regulatory classifications required in the USA, Canada, and Mexico.</w:t>
      </w:r>
    </w:p>
    <w:p>
      <w:r>
        <w:rPr>
          <w:b/>
        </w:rPr>
        <w:t xml:space="preserve">Meridian Health Systems, Inc. Decision: </w:t>
      </w:r>
      <w:r>
        <w:t>Adopt a multi‑level, multilingual Job structure that:</w:t>
        <w:br/>
        <w:t>1. Consolidates all legacy job codes into a single global Job ID (Golden Record).</w:t>
        <w:br/>
        <w:t>2. Provides language‑specific Job Titles for English, Spanish, and French‑Canadian users.</w:t>
        <w:br/>
        <w:t>3. Segregates Clinical vs. Non‑Clinical families to enable real‑time credentialing flags from Symplr.</w:t>
        <w:br/>
        <w:t>4. Maps Job Levels to the Compensation Grade matrix used by ADP (US) and Ceridian (CA).</w:t>
        <w:br/>
        <w:t>5. Includes Union‑Specific Job Classifications for the unionized workforce.</w:t>
        <w:br/>
        <w:t>6. Enables OIC‑driven event triggers on Job changes for payroll and Epic integrations.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Recommended Value</w:t>
            </w:r>
          </w:p>
        </w:tc>
        <w:tc>
          <w:tcPr>
            <w:tcW w:type="dxa" w:w="3033"/>
          </w:tcPr>
          <w:p>
            <w:r>
              <w:t>Rationale</w:t>
            </w:r>
          </w:p>
        </w:tc>
      </w:tr>
      <w:tr>
        <w:tc>
          <w:tcPr>
            <w:tcW w:type="dxa" w:w="3033"/>
          </w:tcPr>
          <w:p>
            <w:r>
              <w:t>Job Family</w:t>
            </w:r>
          </w:p>
        </w:tc>
        <w:tc>
          <w:tcPr>
            <w:tcW w:type="dxa" w:w="3033"/>
          </w:tcPr>
          <w:p>
            <w:r>
              <w:t>Clinical, Administrative, Support Services, Unionized Staff</w:t>
            </w:r>
          </w:p>
        </w:tc>
        <w:tc>
          <w:tcPr>
            <w:tcW w:type="dxa" w:w="3033"/>
          </w:tcPr>
          <w:p>
            <w:r>
              <w:t>Separates clinical credentialing logic and union rules; aligns with business reporting.</w:t>
            </w:r>
          </w:p>
        </w:tc>
      </w:tr>
      <w:tr>
        <w:tc>
          <w:tcPr>
            <w:tcW w:type="dxa" w:w="3033"/>
          </w:tcPr>
          <w:p>
            <w:r>
              <w:t>Job Level Range</w:t>
            </w:r>
          </w:p>
        </w:tc>
        <w:tc>
          <w:tcPr>
            <w:tcW w:type="dxa" w:w="3033"/>
          </w:tcPr>
          <w:p>
            <w:r>
              <w:t>01 – 20 (aligned to Compensation Grades)</w:t>
            </w:r>
          </w:p>
        </w:tc>
        <w:tc>
          <w:tcPr>
            <w:tcW w:type="dxa" w:w="3033"/>
          </w:tcPr>
          <w:p>
            <w:r>
              <w:t>Supports multi‑grade compensation structures across ADP and Ceridian.</w:t>
            </w:r>
          </w:p>
        </w:tc>
      </w:tr>
      <w:tr>
        <w:tc>
          <w:tcPr>
            <w:tcW w:type="dxa" w:w="3033"/>
          </w:tcPr>
          <w:p>
            <w:r>
              <w:t>Job Classification (US)</w:t>
            </w:r>
          </w:p>
        </w:tc>
        <w:tc>
          <w:tcPr>
            <w:tcW w:type="dxa" w:w="3033"/>
          </w:tcPr>
          <w:p>
            <w:r>
              <w:t>RN, LPN, Physician, Admin Staff, Union Tech, etc.</w:t>
            </w:r>
          </w:p>
        </w:tc>
        <w:tc>
          <w:tcPr>
            <w:tcW w:type="dxa" w:w="3033"/>
          </w:tcPr>
          <w:p>
            <w:r>
              <w:t>Meets US regulatory and union collective bargaining requirements.</w:t>
            </w:r>
          </w:p>
        </w:tc>
      </w:tr>
      <w:tr>
        <w:tc>
          <w:tcPr>
            <w:tcW w:type="dxa" w:w="3033"/>
          </w:tcPr>
          <w:p>
            <w:r>
              <w:t>Job Classification (CA)</w:t>
            </w:r>
          </w:p>
        </w:tc>
        <w:tc>
          <w:tcPr>
            <w:tcW w:type="dxa" w:w="3033"/>
          </w:tcPr>
          <w:p>
            <w:r>
              <w:t>Infirmier Autorisé, Technicien Syndiqué, etc.</w:t>
            </w:r>
          </w:p>
        </w:tc>
        <w:tc>
          <w:tcPr>
            <w:tcW w:type="dxa" w:w="3033"/>
          </w:tcPr>
          <w:p>
            <w:r>
              <w:t>Provides French‑Canadian titles and complies with provincial labor standards.</w:t>
            </w:r>
          </w:p>
        </w:tc>
      </w:tr>
      <w:tr>
        <w:tc>
          <w:tcPr>
            <w:tcW w:type="dxa" w:w="3033"/>
          </w:tcPr>
          <w:p>
            <w:r>
              <w:t>Job Classification (MX)</w:t>
            </w:r>
          </w:p>
        </w:tc>
        <w:tc>
          <w:tcPr>
            <w:tcW w:type="dxa" w:w="3033"/>
          </w:tcPr>
          <w:p>
            <w:r>
              <w:t>Enfermero, Personal Administrativo, etc.</w:t>
            </w:r>
          </w:p>
        </w:tc>
        <w:tc>
          <w:tcPr>
            <w:tcW w:type="dxa" w:w="3033"/>
          </w:tcPr>
          <w:p>
            <w:r>
              <w:t>Ensures Mexican labor classification compliance.</w:t>
            </w:r>
          </w:p>
        </w:tc>
      </w:tr>
      <w:tr>
        <w:tc>
          <w:tcPr>
            <w:tcW w:type="dxa" w:w="3033"/>
          </w:tcPr>
          <w:p>
            <w:r>
              <w:t>Job Title (EN)</w:t>
            </w:r>
          </w:p>
        </w:tc>
        <w:tc>
          <w:tcPr>
            <w:tcW w:type="dxa" w:w="3033"/>
          </w:tcPr>
          <w:p>
            <w:r>
              <w:t>Global Job Title (e.g., "Registered Nurse")</w:t>
            </w:r>
          </w:p>
        </w:tc>
        <w:tc>
          <w:tcPr>
            <w:tcW w:type="dxa" w:w="3033"/>
          </w:tcPr>
          <w:p>
            <w:r>
              <w:t>Primary display for English UI.</w:t>
            </w:r>
          </w:p>
        </w:tc>
      </w:tr>
      <w:tr>
        <w:tc>
          <w:tcPr>
            <w:tcW w:type="dxa" w:w="3033"/>
          </w:tcPr>
          <w:p>
            <w:r>
              <w:t>Job Title (ES)</w:t>
            </w:r>
          </w:p>
        </w:tc>
        <w:tc>
          <w:tcPr>
            <w:tcW w:type="dxa" w:w="3033"/>
          </w:tcPr>
          <w:p>
            <w:r>
              <w:t>Translated Title (e.g., "Enfermera Registrada")</w:t>
            </w:r>
          </w:p>
        </w:tc>
        <w:tc>
          <w:tcPr>
            <w:tcW w:type="dxa" w:w="3033"/>
          </w:tcPr>
          <w:p>
            <w:r>
              <w:t>Supports Spanish‑speaking workforce.</w:t>
            </w:r>
          </w:p>
        </w:tc>
      </w:tr>
      <w:tr>
        <w:tc>
          <w:tcPr>
            <w:tcW w:type="dxa" w:w="3033"/>
          </w:tcPr>
          <w:p>
            <w:r>
              <w:t>Job Title (FR‑CA)</w:t>
            </w:r>
          </w:p>
        </w:tc>
        <w:tc>
          <w:tcPr>
            <w:tcW w:type="dxa" w:w="3033"/>
          </w:tcPr>
          <w:p>
            <w:r>
              <w:t>Translated Title (e.g., "Infirmière Autorisée")</w:t>
            </w:r>
          </w:p>
        </w:tc>
        <w:tc>
          <w:tcPr>
            <w:tcW w:type="dxa" w:w="3033"/>
          </w:tcPr>
          <w:p>
            <w:r>
              <w:t>Supports French‑Canadian workforce.</w:t>
            </w:r>
          </w:p>
        </w:tc>
      </w:tr>
      <w:tr>
        <w:tc>
          <w:tcPr>
            <w:tcW w:type="dxa" w:w="3033"/>
          </w:tcPr>
          <w:p>
            <w:r>
              <w:t>Credentialing Status Attribute</w:t>
            </w:r>
          </w:p>
        </w:tc>
        <w:tc>
          <w:tcPr>
            <w:tcW w:type="dxa" w:w="3033"/>
          </w:tcPr>
          <w:p>
            <w:r>
              <w:t>Custom Boolean (Active/Inactive)</w:t>
            </w:r>
          </w:p>
        </w:tc>
        <w:tc>
          <w:tcPr>
            <w:tcW w:type="dxa" w:w="3033"/>
          </w:tcPr>
          <w:p>
            <w:r>
              <w:t>Populated by Symplr feed; used to gate scheduling in Epic.</w:t>
            </w:r>
          </w:p>
        </w:tc>
      </w:tr>
      <w:tr>
        <w:tc>
          <w:tcPr>
            <w:tcW w:type="dxa" w:w="3033"/>
          </w:tcPr>
          <w:p>
            <w:r>
              <w:t>Integration Trigger</w:t>
            </w:r>
          </w:p>
        </w:tc>
        <w:tc>
          <w:tcPr>
            <w:tcW w:type="dxa" w:w="3033"/>
          </w:tcPr>
          <w:p>
            <w:r>
              <w:t>OIC Event – Job Change (Hire/Transfer/Termination)</w:t>
            </w:r>
          </w:p>
        </w:tc>
        <w:tc>
          <w:tcPr>
            <w:tcW w:type="dxa" w:w="3033"/>
          </w:tcPr>
          <w:p>
            <w:r>
              <w:t>Ensures payroll, IT provisioning, and Epic receive real‑time updates.</w:t>
            </w:r>
          </w:p>
        </w:tc>
      </w:tr>
      <w:tr>
        <w:tc>
          <w:tcPr>
            <w:tcW w:type="dxa" w:w="3033"/>
          </w:tcPr>
          <w:p>
            <w:r>
              <w:t>Approval Workflow Routing</w:t>
            </w:r>
          </w:p>
        </w:tc>
        <w:tc>
          <w:tcPr>
            <w:tcW w:type="dxa" w:w="3033"/>
          </w:tcPr>
          <w:p>
            <w:r>
              <w:t>Level‑Based (e.g., Level ≤05 → Department Manager; Level &gt;05 → Clinical Director → HRBP)</w:t>
            </w:r>
          </w:p>
        </w:tc>
        <w:tc>
          <w:tcPr>
            <w:tcW w:type="dxa" w:w="3033"/>
          </w:tcPr>
          <w:p>
            <w:r>
              <w:t>Provides configurable multi‑level approvals per requirement.</w:t>
            </w:r>
          </w:p>
        </w:tc>
      </w:tr>
      <w:tr>
        <w:tc>
          <w:tcPr>
            <w:tcW w:type="dxa" w:w="3033"/>
          </w:tcPr>
          <w:p>
            <w:r>
              <w:t>Data Load Method</w:t>
            </w:r>
          </w:p>
        </w:tc>
        <w:tc>
          <w:tcPr>
            <w:tcW w:type="dxa" w:w="3033"/>
          </w:tcPr>
          <w:p>
            <w:r>
              <w:t>HDL – HCM Data Loader (Job, Job Family, Job Level, Job Classification)</w:t>
            </w:r>
          </w:p>
        </w:tc>
        <w:tc>
          <w:tcPr>
            <w:tcW w:type="dxa" w:w="3033"/>
          </w:tcPr>
          <w:p>
            <w:r>
              <w:t>Efficient bulk migration from six legacy systems.</w:t>
            </w:r>
          </w:p>
        </w:tc>
      </w:tr>
    </w:tbl>
    <w:p>
      <w:r>
        <w:rPr>
          <w:b/>
        </w:rPr>
        <w:t xml:space="preserve">Configuration Notes: </w:t>
      </w:r>
      <w:r>
        <w:t xml:space="preserve">1. **Setup Task:** *Manage Jobs* (Setup and Maintenance &gt; Workforce Structures &gt; Manage Jobs).  </w:t>
        <w:br/>
        <w:t xml:space="preserve">2. **Define Job Families:** Use *Define Job Family* task; create four global families – Clinical, Administrative, Support Services, Unionized Staff.  </w:t>
        <w:br/>
        <w:t xml:space="preserve">3. **Define Job Levels:** Use *Define Job Level* task; create levels 01‑20 aligned with compensation grades.  </w:t>
        <w:br/>
        <w:t xml:space="preserve">4. **Define Job Classifications:** Use *Define Job Classification* task; create classifications per country (e.g., "Registered Nurse – US", "Infirmier Autorisé – CA-FR").  </w:t>
        <w:br/>
        <w:t xml:space="preserve">5. **Create Jobs:** Use *Define Job* task; for each legacy job code, create a single global Job with a unique Job ID. Populate *Job Name* (EN), *Job Name (Spanish)*, *Job Name (French‑Canadian)* fields.  </w:t>
        <w:br/>
        <w:t xml:space="preserve">6. **Assign Job Hierarchy:** Use *Define Job Hierarchy* task to link Jobs to their respective Families and Levels.  </w:t>
        <w:br/>
        <w:t xml:space="preserve">7. **Enable Language Translation:** Activate *Language Translation* for Job entity via *Manage Translations* task; upload translation files for Spanish and French‑Canadian.  </w:t>
        <w:br/>
        <w:t xml:space="preserve">8. **Integrate with Credentialing:** Add a custom *Credentialing Status* attribute to the Job entity via *Manage Object and Fields*; map Symplr real‑time feed to this attribute using OIC.  </w:t>
        <w:br/>
        <w:t xml:space="preserve">9. **Configure Approval Workflows:** In *Manage Approval Rules for Job Changes*, reference Job Level and Job Classification to route requisitions, compensation changes, and terminations to appropriate approvers (e.g., Department Head → Clinical Director → HR Business Partner).  </w:t>
        <w:br/>
        <w:t>10. **Testing &amp; Validation:** Run HDL – HCM Data Loader (HDL) loads for bulk job creation; validate using *Job Data Validation* task and confirm integration triggers fire on *Hire* and *Job Transfer* events.</w:t>
      </w:r>
    </w:p>
    <w:p>
      <w:pPr>
        <w:pStyle w:val="Heading2"/>
      </w:pPr>
      <w:r>
        <w:t>3.7 Position Structure</w:t>
      </w:r>
    </w:p>
    <w:p>
      <w:r>
        <w:t>This section defines the design of the Position hierarchy, Position Types, Statuses, Templates and eligibility rules that will be used across Meridian Health Systems, Inc. to support a single source of truth for employee master data, enable real‑time credentialing integration, and provide multi‑language UI for clinical and non‑clinical staff in the United States, Canada and Mexico.</w:t>
      </w:r>
    </w:p>
    <w:p>
      <w:r>
        <w:rPr>
          <w:b/>
        </w:rPr>
        <w:t xml:space="preserve">Oracle Recommendation: </w:t>
      </w:r>
      <w:r>
        <w:t>Oracle best practice for a multi‑country, unionized healthcare organization is to implement a global Position hierarchy anchored to Legal Entity → Business Unit → Department → Sub‑Department, use Position Types to differentiate Clinical, Non‑Clinical, Union and Contingent roles, and enable Position Language Translations for EN, ES and FR‑CA. Leverage the Setup and Maintenance task **Manage Positions** together with **Define Position Hierarchy**, **Define Position Types**, **Define Position Status**, and **Define Position Templates**. Load the initial position data via **HDL – HCM Data Loader** and enable the **Event‑Driven Integration Framework** to publish Position change events to OIC.</w:t>
      </w:r>
    </w:p>
    <w:p>
      <w:r>
        <w:rPr>
          <w:b/>
        </w:rPr>
        <w:t xml:space="preserve">Meridian Health Systems, Inc. Decision: </w:t>
      </w:r>
      <w:r>
        <w:t>Meridian Health Systems will adopt a three‑tier Position hierarchy (Legal Entity → Business Unit → Department) with sub‑levels for Clinical Service Line and Union Bargaining Unit. Position Types will be created for: Clinical Provider, Clinical Support, Administrative, Union‑Staff, Contingent‑Temp, and Executive. Position Status values will include Active, Inactive, Pending Credentialing, and On‑Leave. Position Templates will be defined per Service Line to pre‑populate default eligibility, compensation grades and language‑specific job descriptions. All positions will be loaded initially via HDL and maintained through the **Manage Positions** task. Position change events will trigger OIC integrations to payroll, IT provisioning, Symplr and Epic.</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Position Hierarchy Levels</w:t>
            </w:r>
          </w:p>
        </w:tc>
        <w:tc>
          <w:tcPr>
            <w:tcW w:type="dxa" w:w="3033"/>
          </w:tcPr>
          <w:p>
            <w:r>
              <w:t>Legal Entity → Business Unit → Department → Sub‑Department (Service Line) – aligns with reporting and cost‑center structures across USA, Canada, Mexico.</w:t>
            </w:r>
          </w:p>
        </w:tc>
      </w:tr>
      <w:tr>
        <w:tc>
          <w:tcPr>
            <w:tcW w:type="dxa" w:w="3033"/>
          </w:tcPr>
          <w:p>
            <w:r>
              <w:t>Configuration Item</w:t>
            </w:r>
          </w:p>
        </w:tc>
        <w:tc>
          <w:tcPr>
            <w:tcW w:type="dxa" w:w="3033"/>
          </w:tcPr>
          <w:p>
            <w:r>
              <w:t>Position Types</w:t>
            </w:r>
          </w:p>
        </w:tc>
        <w:tc>
          <w:tcPr>
            <w:tcW w:type="dxa" w:w="3033"/>
          </w:tcPr>
          <w:p>
            <w:r>
              <w:t>Clinical Provider, Clinical Support, Administrative, Union‑Staff, Contingent‑Temp, Executive – enables distinct eligibility, compensation and union rules.</w:t>
            </w:r>
          </w:p>
        </w:tc>
      </w:tr>
      <w:tr>
        <w:tc>
          <w:tcPr>
            <w:tcW w:type="dxa" w:w="3033"/>
          </w:tcPr>
          <w:p>
            <w:r>
              <w:t>Configuration Item</w:t>
            </w:r>
          </w:p>
        </w:tc>
        <w:tc>
          <w:tcPr>
            <w:tcW w:type="dxa" w:w="3033"/>
          </w:tcPr>
          <w:p>
            <w:r>
              <w:t>Position Status Values</w:t>
            </w:r>
          </w:p>
        </w:tc>
        <w:tc>
          <w:tcPr>
            <w:tcW w:type="dxa" w:w="3033"/>
          </w:tcPr>
          <w:p>
            <w:r>
              <w:t>Active, Inactive, Pending Credentialing, On‑Leave – supports real‑time credential gating from Symplr.</w:t>
            </w:r>
          </w:p>
        </w:tc>
      </w:tr>
      <w:tr>
        <w:tc>
          <w:tcPr>
            <w:tcW w:type="dxa" w:w="3033"/>
          </w:tcPr>
          <w:p>
            <w:r>
              <w:t>Configuration Item</w:t>
            </w:r>
          </w:p>
        </w:tc>
        <w:tc>
          <w:tcPr>
            <w:tcW w:type="dxa" w:w="3033"/>
          </w:tcPr>
          <w:p>
            <w:r>
              <w:t>Position Templates</w:t>
            </w:r>
          </w:p>
        </w:tc>
        <w:tc>
          <w:tcPr>
            <w:tcW w:type="dxa" w:w="3033"/>
          </w:tcPr>
          <w:p>
            <w:r>
              <w:t>One template per Clinical Service Line (e.g., Cardiology, Emergency, Radiology) pre‑populated with Compensation Grade, Eligibility Rules, Language Translations.</w:t>
            </w:r>
          </w:p>
        </w:tc>
      </w:tr>
      <w:tr>
        <w:tc>
          <w:tcPr>
            <w:tcW w:type="dxa" w:w="3033"/>
          </w:tcPr>
          <w:p>
            <w:r>
              <w:t>Configuration Item</w:t>
            </w:r>
          </w:p>
        </w:tc>
        <w:tc>
          <w:tcPr>
            <w:tcW w:type="dxa" w:w="3033"/>
          </w:tcPr>
          <w:p>
            <w:r>
              <w:t>Language Translations</w:t>
            </w:r>
          </w:p>
        </w:tc>
        <w:tc>
          <w:tcPr>
            <w:tcW w:type="dxa" w:w="3033"/>
          </w:tcPr>
          <w:p>
            <w:r>
              <w:t>Job Title and Description fields provided in EN, ES, FR‑CA via **Define Position Language Translations** – meets bilingual UI requirement for 2,590 employees.</w:t>
            </w:r>
          </w:p>
        </w:tc>
      </w:tr>
      <w:tr>
        <w:tc>
          <w:tcPr>
            <w:tcW w:type="dxa" w:w="3033"/>
          </w:tcPr>
          <w:p>
            <w:r>
              <w:t>Configuration Item</w:t>
            </w:r>
          </w:p>
        </w:tc>
        <w:tc>
          <w:tcPr>
            <w:tcW w:type="dxa" w:w="3033"/>
          </w:tcPr>
          <w:p>
            <w:r>
              <w:t>Eligibility Rules</w:t>
            </w:r>
          </w:p>
        </w:tc>
        <w:tc>
          <w:tcPr>
            <w:tcW w:type="dxa" w:w="3033"/>
          </w:tcPr>
          <w:p>
            <w:r>
              <w:t>Rule 1: Position Type = Clinical Provider → Credentialing Status = ‘Active’ (Symplr integration). Rule 2: Union‑Staff → Must match Union Bargaining Unit code.</w:t>
            </w:r>
          </w:p>
        </w:tc>
      </w:tr>
      <w:tr>
        <w:tc>
          <w:tcPr>
            <w:tcW w:type="dxa" w:w="3033"/>
          </w:tcPr>
          <w:p>
            <w:r>
              <w:t>Configuration Item</w:t>
            </w:r>
          </w:p>
        </w:tc>
        <w:tc>
          <w:tcPr>
            <w:tcW w:type="dxa" w:w="3033"/>
          </w:tcPr>
          <w:p>
            <w:r>
              <w:t>Bulk Load Method</w:t>
            </w:r>
          </w:p>
        </w:tc>
        <w:tc>
          <w:tcPr>
            <w:tcW w:type="dxa" w:w="3033"/>
          </w:tcPr>
          <w:p>
            <w:r>
              <w:t>Use **HDL – HCM Data Loader** with POSN file; include hierarchy keys, type, status, template, language fields.</w:t>
            </w:r>
          </w:p>
        </w:tc>
      </w:tr>
      <w:tr>
        <w:tc>
          <w:tcPr>
            <w:tcW w:type="dxa" w:w="3033"/>
          </w:tcPr>
          <w:p>
            <w:r>
              <w:t>Configuration Item</w:t>
            </w:r>
          </w:p>
        </w:tc>
        <w:tc>
          <w:tcPr>
            <w:tcW w:type="dxa" w:w="3033"/>
          </w:tcPr>
          <w:p>
            <w:r>
              <w:t>Event Publishing</w:t>
            </w:r>
          </w:p>
        </w:tc>
        <w:tc>
          <w:tcPr>
            <w:tcW w:type="dxa" w:w="3033"/>
          </w:tcPr>
          <w:p>
            <w:r>
              <w:t>Enable Position Change events in **Setup and Maintenance &gt; Integration &gt; Event‑Driven Integration Framework**; OIC subscriptions for ADP, Ceridian, Epic, Symplr.</w:t>
            </w:r>
          </w:p>
        </w:tc>
      </w:tr>
      <w:tr>
        <w:tc>
          <w:tcPr>
            <w:tcW w:type="dxa" w:w="3033"/>
          </w:tcPr>
          <w:p>
            <w:r>
              <w:t>Configuration Item</w:t>
            </w:r>
          </w:p>
        </w:tc>
        <w:tc>
          <w:tcPr>
            <w:tcW w:type="dxa" w:w="3033"/>
          </w:tcPr>
          <w:p>
            <w:r>
              <w:t>Security Profiles</w:t>
            </w:r>
          </w:p>
        </w:tc>
        <w:tc>
          <w:tcPr>
            <w:tcW w:type="dxa" w:w="3033"/>
          </w:tcPr>
          <w:p>
            <w:r>
              <w:t>Assign Position Security Profiles to HR Business Partners, Payroll Administrators, Clinical Operations Managers, Union Representatives via **Security Console**.</w:t>
            </w:r>
          </w:p>
        </w:tc>
      </w:tr>
    </w:tbl>
    <w:p>
      <w:r>
        <w:rPr>
          <w:b/>
        </w:rPr>
        <w:t xml:space="preserve">Configuration Notes: </w:t>
      </w:r>
      <w:r>
        <w:t>1. **Setup and Maintenance &gt; Workforce Structures &gt; Manage Positions** – Create global Position hierarchy levels (Legal Entity, Business Unit, Department, Sub‑Department). 2. **Setup and Maintenance &gt; Workforce Structures &gt; Define Position Types** – Define 6 Position Types with appropriate security profiles. 3. **Setup and Maintenance &gt; Workforce Structures &gt; Define Position Status** – Add custom statuses (Pending Credentialing, On‑Leave). 4. **Setup and Maintenance &gt; Workforce Structures &gt; Define Position Templates** – Build templates for each Clinical Service Line, map to Compensation Grades and Eligibility Rules. 5. **Setup and Maintenance &gt; Workforce Structures &gt; Define Position Language Translations** – Upload EN, ES, FR‑CA job titles and descriptions. 6. **Setup and Maintenance &gt; Workforce Structures &gt; Define Position Eligibility Rules** – Configure rules to restrict assignment based on credentialing status (integration with Symplr) and union classification. 7. **HDL – HCM Data Loader** – Prepare Position load file (POSN) with hierarchy keys, type, status, template, language fields and execute bulk load. 8. **Setup and Maintenance &gt; Integration &gt; Event‑Driven Integration Framework** – Enable Position Change event publishing to OIC for downstream payroll, IT and clinical systems. 9. **Security Console &gt; Define Role Hierarchies** – Assign Position Security Profiles to HR, Payroll, Clinical Operations and Union Representatives. 10. **Test** – Validate Position creation, update and termination flows in a sandbox, verify OIC event payloads and downstream system updates.</w:t>
      </w:r>
    </w:p>
    <w:p>
      <w:pPr>
        <w:pStyle w:val="Heading2"/>
      </w:pPr>
      <w:r>
        <w:t>3.8 Grade Structure</w:t>
      </w:r>
    </w:p>
    <w:p>
      <w:r>
        <w:t>This section defines the design of the global Grade hierarchy that will be used across all Legal Entities, Business Units and Job families at Meridian Health Systems. A consistent Grade structure enables uniform compensation planning, facilitates multi‑country payroll integration, supports union‑specific pay scales, and provides the foundation for the Compensation &amp; Benefits module and the upcoming Credentialing integration.</w:t>
      </w:r>
    </w:p>
    <w:p>
      <w:r>
        <w:rPr>
          <w:b/>
        </w:rPr>
        <w:t xml:space="preserve">Oracle Recommendation: </w:t>
      </w:r>
      <w:r>
        <w:t>Oracle best practice for a multi‑country, unionized healthcare organization is to implement a single global Grade hierarchy with localized Grade Ranges per Legal Entity. Use the "Manage Grades" task to create a master Grade list, then apply "Define Grade Ranges" to map each Grade to the appropriate salary/benefit bands for the USA, Canada, and Mexico. Leverage the "Assign Grade to Job" task to bind Grades to Job Definitions, and enable the "Grade‑Based Compensation" feature for automated compensation calculations.</w:t>
      </w:r>
    </w:p>
    <w:p>
      <w:r>
        <w:rPr>
          <w:b/>
        </w:rPr>
        <w:t xml:space="preserve">Meridian Health Systems, Inc. Decision: </w:t>
      </w:r>
      <w:r>
        <w:t>Create a unified global Grade catalog (e.g., G01‑G30) that will be shared across all 4 Legal Entities. For each Legal Entity, define localized Grade Ranges that reflect country‑specific minimum/maximum compensation, union agreements, and clinical credentialing differentials. Assign Grades to all existing Job Definitions and configure Grade‑Based Compensation rules to drive salary planning and OIC‑based payroll feeds.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Global Grade Catalog (G01‑G30)</w:t>
            </w:r>
          </w:p>
        </w:tc>
        <w:tc>
          <w:tcPr>
            <w:tcW w:type="dxa" w:w="3033"/>
          </w:tcPr>
          <w:p>
            <w:r>
              <w:t>Provides a single source of truth; simplifies cross‑entity reporting and analytics.</w:t>
            </w:r>
          </w:p>
        </w:tc>
      </w:tr>
      <w:tr>
        <w:tc>
          <w:tcPr>
            <w:tcW w:type="dxa" w:w="3033"/>
          </w:tcPr>
          <w:p>
            <w:r>
              <w:t>Configuration Item</w:t>
            </w:r>
          </w:p>
        </w:tc>
        <w:tc>
          <w:tcPr>
            <w:tcW w:type="dxa" w:w="3033"/>
          </w:tcPr>
          <w:p>
            <w:r>
              <w:t>Grade Ranges – USA (USD)</w:t>
            </w:r>
          </w:p>
        </w:tc>
        <w:tc>
          <w:tcPr>
            <w:tcW w:type="dxa" w:w="3033"/>
          </w:tcPr>
          <w:p>
            <w:r>
              <w:t>Reflects US union contracts, market salary bands, and clinical credentialing differentials.</w:t>
            </w:r>
          </w:p>
        </w:tc>
      </w:tr>
      <w:tr>
        <w:tc>
          <w:tcPr>
            <w:tcW w:type="dxa" w:w="3033"/>
          </w:tcPr>
          <w:p>
            <w:r>
              <w:t>Configuration Item</w:t>
            </w:r>
          </w:p>
        </w:tc>
        <w:tc>
          <w:tcPr>
            <w:tcW w:type="dxa" w:w="3033"/>
          </w:tcPr>
          <w:p>
            <w:r>
              <w:t>Grade Ranges – Canada (CAD)</w:t>
            </w:r>
          </w:p>
        </w:tc>
        <w:tc>
          <w:tcPr>
            <w:tcW w:type="dxa" w:w="3033"/>
          </w:tcPr>
          <w:p>
            <w:r>
              <w:t>Aligns with provincial labor standards, French‑Canadian language requirements, and Ceridian payroll integration.</w:t>
            </w:r>
          </w:p>
        </w:tc>
      </w:tr>
      <w:tr>
        <w:tc>
          <w:tcPr>
            <w:tcW w:type="dxa" w:w="3033"/>
          </w:tcPr>
          <w:p>
            <w:r>
              <w:t>Configuration Item</w:t>
            </w:r>
          </w:p>
        </w:tc>
        <w:tc>
          <w:tcPr>
            <w:tcW w:type="dxa" w:w="3033"/>
          </w:tcPr>
          <w:p>
            <w:r>
              <w:t>Grade Ranges – Mexico (MXN)</w:t>
            </w:r>
          </w:p>
        </w:tc>
        <w:tc>
          <w:tcPr>
            <w:tcW w:type="dxa" w:w="3033"/>
          </w:tcPr>
          <w:p>
            <w:r>
              <w:t>Incorporates local labor law minimums and third‑party payroll provider mappings.</w:t>
            </w:r>
          </w:p>
        </w:tc>
      </w:tr>
      <w:tr>
        <w:tc>
          <w:tcPr>
            <w:tcW w:type="dxa" w:w="3033"/>
          </w:tcPr>
          <w:p>
            <w:r>
              <w:t>Configuration Item</w:t>
            </w:r>
          </w:p>
        </w:tc>
        <w:tc>
          <w:tcPr>
            <w:tcW w:type="dxa" w:w="3033"/>
          </w:tcPr>
          <w:p>
            <w:r>
              <w:t>Assign Grade to Job Definitions</w:t>
            </w:r>
          </w:p>
        </w:tc>
        <w:tc>
          <w:tcPr>
            <w:tcW w:type="dxa" w:w="3033"/>
          </w:tcPr>
          <w:p>
            <w:r>
              <w:t>Ensures every Job (e.g., RN, Physician, IT Analyst) is linked to an appropriate Grade for compensation calculations.</w:t>
            </w:r>
          </w:p>
        </w:tc>
      </w:tr>
      <w:tr>
        <w:tc>
          <w:tcPr>
            <w:tcW w:type="dxa" w:w="3033"/>
          </w:tcPr>
          <w:p>
            <w:r>
              <w:t>Configuration Item</w:t>
            </w:r>
          </w:p>
        </w:tc>
        <w:tc>
          <w:tcPr>
            <w:tcW w:type="dxa" w:w="3033"/>
          </w:tcPr>
          <w:p>
            <w:r>
              <w:t>Enable Grade‑Based Compensation Elements</w:t>
            </w:r>
          </w:p>
        </w:tc>
        <w:tc>
          <w:tcPr>
            <w:tcW w:type="dxa" w:w="3033"/>
          </w:tcPr>
          <w:p>
            <w:r>
              <w:t>Automates salary planning, OIC payroll feeds, and supports multi‑level approval workflows.</w:t>
            </w:r>
          </w:p>
        </w:tc>
      </w:tr>
      <w:tr>
        <w:tc>
          <w:tcPr>
            <w:tcW w:type="dxa" w:w="3033"/>
          </w:tcPr>
          <w:p>
            <w:r>
              <w:t>Configuration Item</w:t>
            </w:r>
          </w:p>
        </w:tc>
        <w:tc>
          <w:tcPr>
            <w:tcW w:type="dxa" w:w="3033"/>
          </w:tcPr>
          <w:p>
            <w:r>
              <w:t>Translate Grade Names/Descriptions (EN/ES/FR‑CA)</w:t>
            </w:r>
          </w:p>
        </w:tc>
        <w:tc>
          <w:tcPr>
            <w:tcW w:type="dxa" w:w="3033"/>
          </w:tcPr>
          <w:p>
            <w:r>
              <w:t>Meets bilingual UI requirement for 2,590 non‑English speaking employees.</w:t>
            </w:r>
          </w:p>
        </w:tc>
      </w:tr>
      <w:tr>
        <w:tc>
          <w:tcPr>
            <w:tcW w:type="dxa" w:w="3033"/>
          </w:tcPr>
          <w:p>
            <w:r>
              <w:t>Configuration Item</w:t>
            </w:r>
          </w:p>
        </w:tc>
        <w:tc>
          <w:tcPr>
            <w:tcW w:type="dxa" w:w="3033"/>
          </w:tcPr>
          <w:p>
            <w:r>
              <w:t>Include Grade in OIC Integration Payloads</w:t>
            </w:r>
          </w:p>
        </w:tc>
        <w:tc>
          <w:tcPr>
            <w:tcW w:type="dxa" w:w="3033"/>
          </w:tcPr>
          <w:p>
            <w:r>
              <w:t>Allows downstream systems (ADP, Ceridian, Benefitfocus, Symplr) to reference Grade for eligibility and credentialing logic.</w:t>
            </w:r>
          </w:p>
        </w:tc>
      </w:tr>
      <w:tr>
        <w:tc>
          <w:tcPr>
            <w:tcW w:type="dxa" w:w="3033"/>
          </w:tcPr>
          <w:p>
            <w:r>
              <w:t>Configuration Item</w:t>
            </w:r>
          </w:p>
        </w:tc>
        <w:tc>
          <w:tcPr>
            <w:tcW w:type="dxa" w:w="3033"/>
          </w:tcPr>
          <w:p>
            <w:r>
              <w:t>Security Role – HR Grade Administrator</w:t>
            </w:r>
          </w:p>
        </w:tc>
        <w:tc>
          <w:tcPr>
            <w:tcW w:type="dxa" w:w="3033"/>
          </w:tcPr>
          <w:p>
            <w:r>
              <w:t>Provides edit rights to Manage Grades and Grade Ranges; scoped by Legal Entity.</w:t>
            </w:r>
          </w:p>
        </w:tc>
      </w:tr>
    </w:tbl>
    <w:p>
      <w:r>
        <w:rPr>
          <w:b/>
        </w:rPr>
        <w:t xml:space="preserve">Configuration Notes: </w:t>
      </w:r>
      <w:r>
        <w:t>1. **Setup and Maintenance &gt; Workforce Structures &gt; Manage Grades** – Create 30 Grades (G01‑G30) with descriptive names (e.g., "G01 – Entry Clinical", "G15 – Senior Nurse Manager").</w:t>
        <w:br/>
        <w:t>2. **Setup and Maintenance &gt; Workforce Structures &gt; Define Grade Ranges** – For each Legal Entity (USA, Canada, Mexico) create Grade Ranges linked to the global Grades, specifying currency, minimum, midpoint, and maximum values per union contract and market data.</w:t>
        <w:br/>
        <w:t>3. **Setup and Maintenance &gt; Workforce Structures &gt; Assign Grade to Job** – Map each Grade to the corresponding Job Definition (e.g., RN, Physician, Administrator) ensuring that clinical credentialing levels (e.g., "Board‑Certified") are captured via Grade extensions.</w:t>
        <w:br/>
        <w:t>4. **Setup and Maintenance &gt; Compensation &gt; Define Compensation Elements** – Enable Grade‑Based Compensation Elements (Base Salary, Shift Differential) and associate them with the Grade Ranges.</w:t>
        <w:br/>
        <w:t>5. **Setup and Maintenance &gt; Workforce Structures &gt; Manage Grade Hierarchy** – Activate the hierarchical relationship (Parent‑Child) to support multi‑level approval workflows that reference Grade levels.</w:t>
        <w:br/>
        <w:t>6. **Setup and Maintenance &gt; Globalization &gt; Manage Languages** – Verify that Grade names and descriptions are translated into Spanish (ES) and French‑Canadian (FR-CA) for UI localization.</w:t>
        <w:br/>
        <w:t>7. **Setup and Maintenance &gt; Integration &gt; Manage Integration Interfaces** – Ensure the Grade attribute is included in the OIC hire/transfer/termination payloads to ADP, Ceridian, and Benefitfocus.</w:t>
        <w:br/>
        <w:t>8. **Security Console &gt; Role Hierarchies** – Grant HR Administrators and Compensation Managers read/write access to Grade maintenance, while limiting Grade Range edits to Compensation Administrators per Legal Entity.</w:t>
      </w:r>
    </w:p>
    <w:p>
      <w:pPr>
        <w:pStyle w:val="Heading2"/>
      </w:pPr>
      <w:r>
        <w:t>3.9 Person Number Generation</w:t>
      </w:r>
    </w:p>
    <w:p>
      <w:r>
        <w:t>This section defines the configuration of global person (employee) numbers for Meridian Health Systems, Inc. It explains how Fusion HCM will generate a unique, immutable identifier that serves as the golden record across all legal entities, business units, and integrated systems (Symplr, Epic, ADP, Ceridian, Benefitfocus). Consistent person numbers are critical for data consolidation, cross‑system reconciliation, and compliance reporting in a multi‑country, unionized healthcare environment.</w:t>
      </w:r>
    </w:p>
    <w:p>
      <w:r>
        <w:rPr>
          <w:b/>
        </w:rPr>
        <w:t xml:space="preserve">Oracle Recommendation: </w:t>
      </w:r>
      <w:r>
        <w:t>Oracle recommends using a single, centrally‑managed Person Number Generation rule that incorporates a country‑level prefix, legal‑entity code, and a sequential numeric suffix. The rule should be defined in **Setup and Maintenance &gt; Workforce Structures &gt; Manage Person Number Generation** and enabled for all legal entities. For multi‑language environments, the person number is language‑agnostic, ensuring seamless UI translation (EN/ES/FR‑CA).</w:t>
      </w:r>
    </w:p>
    <w:p>
      <w:r>
        <w:rPr>
          <w:b/>
        </w:rPr>
        <w:t xml:space="preserve">Meridian Health Systems, Inc. Decision: </w:t>
      </w:r>
      <w:r>
        <w:t>Implement a unified Person Number Generation scheme with the format **[Country Prefix][Legal Entity Code][6‑digit Sequential]** (e.g., US001000001, CA002000123, MX003001045). This satisfies the need for a single source of truth, supports real‑time credentialing integration, and aligns with payroll and benefits vendor requirements. The scheme will be enforced across all 42 facilities and will not be editable after creation.</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Rule Type</w:t>
            </w:r>
          </w:p>
        </w:tc>
        <w:tc>
          <w:tcPr>
            <w:tcW w:type="dxa" w:w="3033"/>
          </w:tcPr>
          <w:p>
            <w:r>
              <w:t>Global – ensures a single rule applies to all legal entities</w:t>
            </w:r>
          </w:p>
        </w:tc>
      </w:tr>
      <w:tr>
        <w:tc>
          <w:tcPr>
            <w:tcW w:type="dxa" w:w="3033"/>
          </w:tcPr>
          <w:p>
            <w:r>
              <w:t>Configuration Item</w:t>
            </w:r>
          </w:p>
        </w:tc>
        <w:tc>
          <w:tcPr>
            <w:tcW w:type="dxa" w:w="3033"/>
          </w:tcPr>
          <w:p>
            <w:r>
              <w:t>Country Prefix</w:t>
            </w:r>
          </w:p>
        </w:tc>
        <w:tc>
          <w:tcPr>
            <w:tcW w:type="dxa" w:w="3033"/>
          </w:tcPr>
          <w:p>
            <w:r>
              <w:t>US = United States, CA = Canada, MX = Mexico – supports multi‑country reporting</w:t>
            </w:r>
          </w:p>
        </w:tc>
      </w:tr>
      <w:tr>
        <w:tc>
          <w:tcPr>
            <w:tcW w:type="dxa" w:w="3033"/>
          </w:tcPr>
          <w:p>
            <w:r>
              <w:t>Configuration Item</w:t>
            </w:r>
          </w:p>
        </w:tc>
        <w:tc>
          <w:tcPr>
            <w:tcW w:type="dxa" w:w="3033"/>
          </w:tcPr>
          <w:p>
            <w:r>
              <w:t>Legal Entity Code</w:t>
            </w:r>
          </w:p>
        </w:tc>
        <w:tc>
          <w:tcPr>
            <w:tcW w:type="dxa" w:w="3033"/>
          </w:tcPr>
          <w:p>
            <w:r>
              <w:t>001 (USA), 002 (Canada), 003 (Mexico) – aligns with existing legal entity master data</w:t>
            </w:r>
          </w:p>
        </w:tc>
      </w:tr>
      <w:tr>
        <w:tc>
          <w:tcPr>
            <w:tcW w:type="dxa" w:w="3033"/>
          </w:tcPr>
          <w:p>
            <w:r>
              <w:t>Configuration Item</w:t>
            </w:r>
          </w:p>
        </w:tc>
        <w:tc>
          <w:tcPr>
            <w:tcW w:type="dxa" w:w="3033"/>
          </w:tcPr>
          <w:p>
            <w:r>
              <w:t>Sequential Number Length</w:t>
            </w:r>
          </w:p>
        </w:tc>
        <w:tc>
          <w:tcPr>
            <w:tcW w:type="dxa" w:w="3033"/>
          </w:tcPr>
          <w:p>
            <w:r>
              <w:t>6 digits – accommodates up to 999,999 employees per entity, future‑proof for growth</w:t>
            </w:r>
          </w:p>
        </w:tc>
      </w:tr>
      <w:tr>
        <w:tc>
          <w:tcPr>
            <w:tcW w:type="dxa" w:w="3033"/>
          </w:tcPr>
          <w:p>
            <w:r>
              <w:t>Configuration Item</w:t>
            </w:r>
          </w:p>
        </w:tc>
        <w:tc>
          <w:tcPr>
            <w:tcW w:type="dxa" w:w="3033"/>
          </w:tcPr>
          <w:p>
            <w:r>
              <w:t>Auto‑Assign on Hire</w:t>
            </w:r>
          </w:p>
        </w:tc>
        <w:tc>
          <w:tcPr>
            <w:tcW w:type="dxa" w:w="3033"/>
          </w:tcPr>
          <w:p>
            <w:r>
              <w:t>Yes – eliminates manual entry, reduces time‑to‑hire, and guarantees uniqueness</w:t>
            </w:r>
          </w:p>
        </w:tc>
      </w:tr>
      <w:tr>
        <w:tc>
          <w:tcPr>
            <w:tcW w:type="dxa" w:w="3033"/>
          </w:tcPr>
          <w:p>
            <w:r>
              <w:t>Configuration Item</w:t>
            </w:r>
          </w:p>
        </w:tc>
        <w:tc>
          <w:tcPr>
            <w:tcW w:type="dxa" w:w="3033"/>
          </w:tcPr>
          <w:p>
            <w:r>
              <w:t>Start Value</w:t>
            </w:r>
          </w:p>
        </w:tc>
        <w:tc>
          <w:tcPr>
            <w:tcW w:type="dxa" w:w="3033"/>
          </w:tcPr>
          <w:p>
            <w:r>
              <w:t>1 – begins numbering at 000001 for each legal entity</w:t>
            </w:r>
          </w:p>
        </w:tc>
      </w:tr>
      <w:tr>
        <w:tc>
          <w:tcPr>
            <w:tcW w:type="dxa" w:w="3033"/>
          </w:tcPr>
          <w:p>
            <w:r>
              <w:t>Configuration Item</w:t>
            </w:r>
          </w:p>
        </w:tc>
        <w:tc>
          <w:tcPr>
            <w:tcW w:type="dxa" w:w="3033"/>
          </w:tcPr>
          <w:p>
            <w:r>
              <w:t>Increment</w:t>
            </w:r>
          </w:p>
        </w:tc>
        <w:tc>
          <w:tcPr>
            <w:tcW w:type="dxa" w:w="3033"/>
          </w:tcPr>
          <w:p>
            <w:r>
              <w:t>1 – sequential, no gaps unless a transaction is rolled back</w:t>
            </w:r>
          </w:p>
        </w:tc>
      </w:tr>
      <w:tr>
        <w:tc>
          <w:tcPr>
            <w:tcW w:type="dxa" w:w="3033"/>
          </w:tcPr>
          <w:p>
            <w:r>
              <w:t>Configuration Item</w:t>
            </w:r>
          </w:p>
        </w:tc>
        <w:tc>
          <w:tcPr>
            <w:tcW w:type="dxa" w:w="3033"/>
          </w:tcPr>
          <w:p>
            <w:r>
              <w:t>Business Unit Assignment</w:t>
            </w:r>
          </w:p>
        </w:tc>
        <w:tc>
          <w:tcPr>
            <w:tcW w:type="dxa" w:w="3033"/>
          </w:tcPr>
          <w:p>
            <w:r>
              <w:t>All Business Units under each legal entity – ensures coverage of all 42 facilities</w:t>
            </w:r>
          </w:p>
        </w:tc>
      </w:tr>
      <w:tr>
        <w:tc>
          <w:tcPr>
            <w:tcW w:type="dxa" w:w="3033"/>
          </w:tcPr>
          <w:p>
            <w:r>
              <w:t>Configuration Item</w:t>
            </w:r>
          </w:p>
        </w:tc>
        <w:tc>
          <w:tcPr>
            <w:tcW w:type="dxa" w:w="3033"/>
          </w:tcPr>
          <w:p>
            <w:r>
              <w:t>Validation Step</w:t>
            </w:r>
          </w:p>
        </w:tc>
        <w:tc>
          <w:tcPr>
            <w:tcW w:type="dxa" w:w="3033"/>
          </w:tcPr>
          <w:p>
            <w:r>
              <w:t>Run **Validate Person Number Generation** after activation to detect duplicates</w:t>
            </w:r>
          </w:p>
        </w:tc>
      </w:tr>
      <w:tr>
        <w:tc>
          <w:tcPr>
            <w:tcW w:type="dxa" w:w="3033"/>
          </w:tcPr>
          <w:p>
            <w:r>
              <w:t>Configuration Item</w:t>
            </w:r>
          </w:p>
        </w:tc>
        <w:tc>
          <w:tcPr>
            <w:tcW w:type="dxa" w:w="3033"/>
          </w:tcPr>
          <w:p>
            <w:r>
              <w:t>Change Management</w:t>
            </w:r>
          </w:p>
        </w:tc>
        <w:tc>
          <w:tcPr>
            <w:tcW w:type="dxa" w:w="3033"/>
          </w:tcPr>
          <w:p>
            <w:r>
              <w:t>Deploy via **Change Management – Deploy Configuration** to move from Test to Production</w:t>
            </w:r>
          </w:p>
        </w:tc>
      </w:tr>
    </w:tbl>
    <w:p>
      <w:r>
        <w:rPr>
          <w:b/>
        </w:rPr>
        <w:t xml:space="preserve">Configuration Notes: </w:t>
      </w:r>
      <w:r>
        <w:t>1. Navigate to **Setup and Maintenance** → **Workforce Structures** → **Manage Person Number Generation**.</w:t>
        <w:br/>
        <w:t>2. Click **Create** and select **Rule Type = Global**.</w:t>
        <w:br/>
        <w:t>3. Define **Country Prefix** values (US, CA, MX) using the **Define Country Prefixes** task.</w:t>
        <w:br/>
        <w:t>4. Define **Legal Entity Codes** (001 = USA, 002 = Canada, 003 = Mexico) via **Manage Legal Entities**.</w:t>
        <w:br/>
        <w:t>5. Set **Number Format** to `{{CountryPrefix}}{{LegalEntityCode}}{{SequentialNumber(6)}}`.</w:t>
        <w:br/>
        <w:t>6. Set **Sequential Number Start** = 1 and **Increment** = 1.</w:t>
        <w:br/>
        <w:t>7. Enable **Auto‑Assign on Hire** = Yes.</w:t>
        <w:br/>
        <w:t>8. Assign the rule to all **Business Units** under **Assign Rule to Business Units**.</w:t>
        <w:br/>
        <w:t>9. Activate the rule and run **Validate Person Number Generation** to ensure no duplicate exists.</w:t>
        <w:br/>
        <w:t>10. Document the rule in **HRMS – Person Number Generation – Design Specification** and communicate to integration teams for OIC mapping.</w:t>
        <w:br/>
        <w:t>11. Test end‑to‑end hire flow in a sandbox (create a test worker in each legal entity) and verify person numbers are generated as per format.</w:t>
        <w:br/>
        <w:t>12. Once validated, move the configuration to Production using **Change Management – Deploy Configuration**.</w:t>
      </w:r>
    </w:p>
    <w:p>
      <w:pPr>
        <w:pStyle w:val="Heading2"/>
      </w:pPr>
      <w:r>
        <w:t>3.10 Application Defaults</w:t>
      </w:r>
    </w:p>
    <w:p>
      <w:r>
        <w:t>This section defines the global system‑wide defaults that drive data creation, UI language, currency, calendar, and integration behavior across all Fusion HCM modules. Establishing consistent defaults is critical for Meridian Health Systems to maintain a single source of truth, support multi‑country operations, and enforce compliance for clinical credentialing and unionized workforce processes.</w:t>
      </w:r>
    </w:p>
    <w:p>
      <w:r>
        <w:rPr>
          <w:b/>
        </w:rPr>
        <w:t xml:space="preserve">Oracle Recommendation: </w:t>
      </w:r>
      <w:r>
        <w:t>Oracle recommends configuring a single set of system defaults that reflect the organization’s primary legal entity (USA) while enabling country‑specific overrides for Canada and Mexico. Enable multi‑language defaults (English, Spanish, French‑Canadian) and activate the Global Employee ID as the golden record. Use the ‘Manage HCM System Options’ task to set defaults for employee ID generation, language, calendar, currency, time zone, and integration event publishing.</w:t>
      </w:r>
    </w:p>
    <w:p>
      <w:r>
        <w:rPr>
          <w:b/>
        </w:rPr>
        <w:t xml:space="preserve">Meridian Health Systems, Inc. Decision: </w:t>
      </w:r>
      <w:r>
        <w:t>Meridian Health Systems will adopt the recommended defaults with the following design: Global Employee ID as the master identifier; default UI language English with Spanish (Mexico) and French‑Canadian enabled; default calendars and currencies per legal entity; time‑zone defaults aligned to each facility’s location; and event‑driven integration defaults for payroll and credentialing. These defaults will be locked down via security profiles to prevent unauthorized changes.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Global Employee ID Generation</w:t>
            </w:r>
          </w:p>
        </w:tc>
        <w:tc>
          <w:tcPr>
            <w:tcW w:type="dxa" w:w="3033"/>
          </w:tcPr>
          <w:p>
            <w:r>
              <w:t>Auto‑Generated (MER-YYMMDD-####)</w:t>
            </w:r>
          </w:p>
        </w:tc>
        <w:tc>
          <w:tcPr>
            <w:tcW w:type="dxa" w:w="3033"/>
          </w:tcPr>
          <w:p>
            <w:r>
              <w:t>Provides a unique, immutable identifier across all legal entities; supports migration from six legacy systems.</w:t>
            </w:r>
          </w:p>
        </w:tc>
      </w:tr>
      <w:tr>
        <w:tc>
          <w:tcPr>
            <w:tcW w:type="dxa" w:w="3033"/>
          </w:tcPr>
          <w:p>
            <w:r>
              <w:t>Default Language</w:t>
            </w:r>
          </w:p>
        </w:tc>
        <w:tc>
          <w:tcPr>
            <w:tcW w:type="dxa" w:w="3033"/>
          </w:tcPr>
          <w:p>
            <w:r>
              <w:t>English (US) – Spanish (Mexico) – French (Canada) enabled</w:t>
            </w:r>
          </w:p>
        </w:tc>
        <w:tc>
          <w:tcPr>
            <w:tcW w:type="dxa" w:w="3033"/>
          </w:tcPr>
          <w:p>
            <w:r>
              <w:t>Meets bilingual UI requirement for 2,590 employees; language‑specific help content will be displayed based on user preference.</w:t>
            </w:r>
          </w:p>
        </w:tc>
      </w:tr>
      <w:tr>
        <w:tc>
          <w:tcPr>
            <w:tcW w:type="dxa" w:w="3033"/>
          </w:tcPr>
          <w:p>
            <w:r>
              <w:t>Default Calendar</w:t>
            </w:r>
          </w:p>
        </w:tc>
        <w:tc>
          <w:tcPr>
            <w:tcW w:type="dxa" w:w="3033"/>
          </w:tcPr>
          <w:p>
            <w:r>
              <w:t>US Calendar (primary); Canada Calendar; Mexico Calendar</w:t>
            </w:r>
          </w:p>
        </w:tc>
        <w:tc>
          <w:tcPr>
            <w:tcW w:type="dxa" w:w="3033"/>
          </w:tcPr>
          <w:p>
            <w:r>
              <w:t>Ensures payroll and leave accrual calculations align with local statutory calendars.</w:t>
            </w:r>
          </w:p>
        </w:tc>
      </w:tr>
      <w:tr>
        <w:tc>
          <w:tcPr>
            <w:tcW w:type="dxa" w:w="3033"/>
          </w:tcPr>
          <w:p>
            <w:r>
              <w:t>Default Currency</w:t>
            </w:r>
          </w:p>
        </w:tc>
        <w:tc>
          <w:tcPr>
            <w:tcW w:type="dxa" w:w="3033"/>
          </w:tcPr>
          <w:p>
            <w:r>
              <w:t>USD (primary); CAD; MXN</w:t>
            </w:r>
          </w:p>
        </w:tc>
        <w:tc>
          <w:tcPr>
            <w:tcW w:type="dxa" w:w="3033"/>
          </w:tcPr>
          <w:p>
            <w:r>
              <w:t>Supports multi‑currency reporting and payroll processing for each legal entity.</w:t>
            </w:r>
          </w:p>
        </w:tc>
      </w:tr>
      <w:tr>
        <w:tc>
          <w:tcPr>
            <w:tcW w:type="dxa" w:w="3033"/>
          </w:tcPr>
          <w:p>
            <w:r>
              <w:t>Default Time Zone</w:t>
            </w:r>
          </w:p>
        </w:tc>
        <w:tc>
          <w:tcPr>
            <w:tcW w:type="dxa" w:w="3033"/>
          </w:tcPr>
          <w:p>
            <w:r>
              <w:t>America/New_York (US), America/Toronto (Canada), America/Mexico_City (Mexico)</w:t>
            </w:r>
          </w:p>
        </w:tc>
        <w:tc>
          <w:tcPr>
            <w:tcW w:type="dxa" w:w="3033"/>
          </w:tcPr>
          <w:p>
            <w:r>
              <w:t>Aligns timestamps for HR transactions, scheduling, and credentialing updates.</w:t>
            </w:r>
          </w:p>
        </w:tc>
      </w:tr>
      <w:tr>
        <w:tc>
          <w:tcPr>
            <w:tcW w:type="dxa" w:w="3033"/>
          </w:tcPr>
          <w:p>
            <w:r>
              <w:t>Default Payroll Integration</w:t>
            </w:r>
          </w:p>
        </w:tc>
        <w:tc>
          <w:tcPr>
            <w:tcW w:type="dxa" w:w="3033"/>
          </w:tcPr>
          <w:p>
            <w:r>
              <w:t>ADP US for USA; Ceridian Canada for Canada; Benefitfocus for benefits</w:t>
            </w:r>
          </w:p>
        </w:tc>
        <w:tc>
          <w:tcPr>
            <w:tcW w:type="dxa" w:w="3033"/>
          </w:tcPr>
          <w:p>
            <w:r>
              <w:t>Pre‑configures integration endpoints; OIC will publish hire/termination events to the appropriate provider.</w:t>
            </w:r>
          </w:p>
        </w:tc>
      </w:tr>
      <w:tr>
        <w:tc>
          <w:tcPr>
            <w:tcW w:type="dxa" w:w="3033"/>
          </w:tcPr>
          <w:p>
            <w:r>
              <w:t>Credentialing Status Flag</w:t>
            </w:r>
          </w:p>
        </w:tc>
        <w:tc>
          <w:tcPr>
            <w:tcW w:type="dxa" w:w="3033"/>
          </w:tcPr>
          <w:p>
            <w:r>
              <w:t>Not Credentialed (default)</w:t>
            </w:r>
          </w:p>
        </w:tc>
        <w:tc>
          <w:tcPr>
            <w:tcW w:type="dxa" w:w="3033"/>
          </w:tcPr>
          <w:p>
            <w:r>
              <w:t>Ensures new hires are blocked from clinical scheduling until Symplr updates the flag.</w:t>
            </w:r>
          </w:p>
        </w:tc>
      </w:tr>
      <w:tr>
        <w:tc>
          <w:tcPr>
            <w:tcW w:type="dxa" w:w="3033"/>
          </w:tcPr>
          <w:p>
            <w:r>
              <w:t>Default Compensation Grade</w:t>
            </w:r>
          </w:p>
        </w:tc>
        <w:tc>
          <w:tcPr>
            <w:tcW w:type="dxa" w:w="3033"/>
          </w:tcPr>
          <w:p>
            <w:r>
              <w:t>Grade 1</w:t>
            </w:r>
          </w:p>
        </w:tc>
        <w:tc>
          <w:tcPr>
            <w:tcW w:type="dxa" w:w="3033"/>
          </w:tcPr>
          <w:p>
            <w:r>
              <w:t>Baseline grade for new hires; compensation workflows will adjust based on position and market data.</w:t>
            </w:r>
          </w:p>
        </w:tc>
      </w:tr>
      <w:tr>
        <w:tc>
          <w:tcPr>
            <w:tcW w:type="dxa" w:w="3033"/>
          </w:tcPr>
          <w:p>
            <w:r>
              <w:t>Default Security Profile for System Options</w:t>
            </w:r>
          </w:p>
        </w:tc>
        <w:tc>
          <w:tcPr>
            <w:tcW w:type="dxa" w:w="3033"/>
          </w:tcPr>
          <w:p>
            <w:r>
              <w:t>HR Administrator</w:t>
            </w:r>
          </w:p>
        </w:tc>
        <w:tc>
          <w:tcPr>
            <w:tcW w:type="dxa" w:w="3033"/>
          </w:tcPr>
          <w:p>
            <w:r>
              <w:t>Restricts modification of defaults to authorized HRIS team members.</w:t>
            </w:r>
          </w:p>
        </w:tc>
      </w:tr>
    </w:tbl>
    <w:p>
      <w:r>
        <w:rPr>
          <w:b/>
        </w:rPr>
        <w:t xml:space="preserve">Configuration Notes: </w:t>
      </w:r>
      <w:r>
        <w:t>1. Navigate to **Setup and Maintenance** → **Task: Manage HCM System Options**.</w:t>
        <w:br/>
        <w:t xml:space="preserve">   - Set **Global Employee ID Generation** to *Auto‑Generated* using the format **MER-YYMMDD-####**.</w:t>
        <w:br/>
        <w:t xml:space="preserve">   - Enable **Default Language** = English (US) and activate **Spanish (Mexico)** and **French (Canada)** for multilingual UI.</w:t>
        <w:br/>
        <w:t xml:space="preserve">   - Define **Default Calendar** = US Calendar; enable **Country‑Specific Calendars** for Canada and Mexico.</w:t>
        <w:br/>
        <w:t xml:space="preserve">   - Set **Default Currency** = USD; enable **Currency Overrides** for CAD (Canada) and MXN (Mexico).</w:t>
        <w:br/>
        <w:t xml:space="preserve">   - Configure **Default Time Zone** = America/New_York (US), America/Toronto (Canada), America/Mexico_City (Mexico).</w:t>
        <w:br/>
        <w:t>2. Use **Setup and Maintenance → Task: Define Global Employee ID** to activate the Global Employee ID as the golden record and map it to the legacy employee number field for migration.</w:t>
        <w:br/>
        <w:t>3. Enable **Multi‑Language UI** via **Setup and Maintenance → Task: Configure Language Preferences** – upload bilingual help content and French‑Canadian help files.</w:t>
        <w:br/>
        <w:t>4. Activate **Event‑Driven Integration** in **Setup and Maintenance → Task: Manage Integration Events** – publish hire, transfer, and termination events to OIC.</w:t>
        <w:br/>
        <w:t>5. Set **Credentialing Default Flag** in **Manage HCM System Options** – default = *Not Credentialed*; integration with Symplr will update the flag in real time.</w:t>
        <w:br/>
        <w:t>6. Restrict changes to these defaults using the **HR Administrator** security profile (Setup and Maintenance → Task: Define Security Profiles).</w:t>
      </w:r>
    </w:p>
    <w:p>
      <w:pPr>
        <w:pStyle w:val="Heading2"/>
      </w:pPr>
      <w:r>
        <w:t>3.11 Security Console Configuration</w:t>
      </w:r>
    </w:p>
    <w:p>
      <w:r>
        <w:t>This section details the configuration of the Oracle Fusion Security Console required to enforce data protection, segregation of duties, and multilingual access for Meridian Health Systems. It outlines how security roles, duty assignments, data security policies, and integration user accounts will be set up to support a multi‑entity, multi‑country, unionized healthcare environment while meeting strict compliance mandates (HIPAA, PHIPA, GDPR).</w:t>
      </w:r>
    </w:p>
    <w:p>
      <w:r>
        <w:rPr>
          <w:b/>
        </w:rPr>
        <w:t xml:space="preserve">Oracle Recommendation: </w:t>
      </w:r>
      <w:r>
        <w:t>Oracle recommends using a layered security model that combines Role Hierarchies, Duty Roles, Data Security Policies, and Language Access Profiles. For multi‑entity organizations, define separate Business Unit and Legal Entity security groups, enable cross‑entity data sharing only where required, and leverage the Security Console’s “Manage Role Hierarchies” and “Define Data Security Policies” tasks. Create dedicated OIC integration users with the minimum required privileges and enforce MFA for all privileged accounts.</w:t>
      </w:r>
    </w:p>
    <w:p>
      <w:r>
        <w:rPr>
          <w:b/>
        </w:rPr>
        <w:t xml:space="preserve">Meridian Health Systems, Inc. Decision: </w:t>
      </w:r>
      <w:r>
        <w:t>Implement a centralized, role‑based security framework that aligns with Meridian’s four legal entities and 42 facilities. Use a global “Meridian HR Super‑User” role hierarchy for HR administrators, entity‑specific “Meridian US HR Manager”, “Meridian CA HR Manager”, etc., and functional duty roles for Compensation, Benefits, Credentialing, and Payroll integration. Enable bilingual (EN/ES) and French‑Canadian UI access through Language Access Profiles. Configure data security policies to restrict PHI and credentialing data to authorized clinical HR users only. Create OIC integration users for ADP, Ceridian, and Benefitfocus with least‑privilege permissions.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Role Hierarchy – MERIDIAN_HR_GLOBAL</w:t>
            </w:r>
          </w:p>
        </w:tc>
        <w:tc>
          <w:tcPr>
            <w:tcW w:type="dxa" w:w="3033"/>
          </w:tcPr>
          <w:p>
            <w:r>
              <w:t>Top‑level hierarchy for all HR admins; parent of entity‑specific hierarchies</w:t>
            </w:r>
          </w:p>
        </w:tc>
      </w:tr>
      <w:tr>
        <w:tc>
          <w:tcPr>
            <w:tcW w:type="dxa" w:w="3033"/>
          </w:tcPr>
          <w:p>
            <w:r>
              <w:t>Configuration Item</w:t>
            </w:r>
          </w:p>
        </w:tc>
        <w:tc>
          <w:tcPr>
            <w:tcW w:type="dxa" w:w="3033"/>
          </w:tcPr>
          <w:p>
            <w:r>
              <w:t>Duty Role – HR Credentialing Analyst</w:t>
            </w:r>
          </w:p>
        </w:tc>
        <w:tc>
          <w:tcPr>
            <w:tcW w:type="dxa" w:w="3033"/>
          </w:tcPr>
          <w:p>
            <w:r>
              <w:t>Grants read/write access to credentialing data; assigned to clinical HR users in US, CA, MX</w:t>
            </w:r>
          </w:p>
        </w:tc>
      </w:tr>
      <w:tr>
        <w:tc>
          <w:tcPr>
            <w:tcW w:type="dxa" w:w="3033"/>
          </w:tcPr>
          <w:p>
            <w:r>
              <w:t>Configuration Item</w:t>
            </w:r>
          </w:p>
        </w:tc>
        <w:tc>
          <w:tcPr>
            <w:tcW w:type="dxa" w:w="3033"/>
          </w:tcPr>
          <w:p>
            <w:r>
              <w:t>Data Security Policy – PHI Access</w:t>
            </w:r>
          </w:p>
        </w:tc>
        <w:tc>
          <w:tcPr>
            <w:tcW w:type="dxa" w:w="3033"/>
          </w:tcPr>
          <w:p>
            <w:r>
              <w:t>Restricts access to Symplr credentialing fields; applies to duty role HR Credentialing Analyst only</w:t>
            </w:r>
          </w:p>
        </w:tc>
      </w:tr>
      <w:tr>
        <w:tc>
          <w:tcPr>
            <w:tcW w:type="dxa" w:w="3033"/>
          </w:tcPr>
          <w:p>
            <w:r>
              <w:t>Configuration Item</w:t>
            </w:r>
          </w:p>
        </w:tc>
        <w:tc>
          <w:tcPr>
            <w:tcW w:type="dxa" w:w="3033"/>
          </w:tcPr>
          <w:p>
            <w:r>
              <w:t>Language Access Profile – ES</w:t>
            </w:r>
          </w:p>
        </w:tc>
        <w:tc>
          <w:tcPr>
            <w:tcW w:type="dxa" w:w="3033"/>
          </w:tcPr>
          <w:p>
            <w:r>
              <w:t>Provides Spanish UI and help content; assigned to 2,100 Spanish‑speaking employees</w:t>
            </w:r>
          </w:p>
        </w:tc>
      </w:tr>
      <w:tr>
        <w:tc>
          <w:tcPr>
            <w:tcW w:type="dxa" w:w="3033"/>
          </w:tcPr>
          <w:p>
            <w:r>
              <w:t>Configuration Item</w:t>
            </w:r>
          </w:p>
        </w:tc>
        <w:tc>
          <w:tcPr>
            <w:tcW w:type="dxa" w:w="3033"/>
          </w:tcPr>
          <w:p>
            <w:r>
              <w:t>Integration User – OIC_ADP_US</w:t>
            </w:r>
          </w:p>
        </w:tc>
        <w:tc>
          <w:tcPr>
            <w:tcW w:type="dxa" w:w="3033"/>
          </w:tcPr>
          <w:p>
            <w:r>
              <w:t>Least‑privilege API access for hire/termination events to ADP; MFA enabled</w:t>
            </w:r>
          </w:p>
        </w:tc>
      </w:tr>
      <w:tr>
        <w:tc>
          <w:tcPr>
            <w:tcW w:type="dxa" w:w="3033"/>
          </w:tcPr>
          <w:p>
            <w:r>
              <w:t>Configuration Item</w:t>
            </w:r>
          </w:p>
        </w:tc>
        <w:tc>
          <w:tcPr>
            <w:tcW w:type="dxa" w:w="3033"/>
          </w:tcPr>
          <w:p>
            <w:r>
              <w:t>Business Unit Security – Facility_001</w:t>
            </w:r>
          </w:p>
        </w:tc>
        <w:tc>
          <w:tcPr>
            <w:tcW w:type="dxa" w:w="3033"/>
          </w:tcPr>
          <w:p>
            <w:r>
              <w:t>Maps Facility 001 to US hierarchy; enforces facility‑level data segregation</w:t>
            </w:r>
          </w:p>
        </w:tc>
      </w:tr>
      <w:tr>
        <w:tc>
          <w:tcPr>
            <w:tcW w:type="dxa" w:w="3033"/>
          </w:tcPr>
          <w:p>
            <w:r>
              <w:t>Configuration Item</w:t>
            </w:r>
          </w:p>
        </w:tc>
        <w:tc>
          <w:tcPr>
            <w:tcW w:type="dxa" w:w="3033"/>
          </w:tcPr>
          <w:p>
            <w:r>
              <w:t>Legal Entity Security – Canada</w:t>
            </w:r>
          </w:p>
        </w:tc>
        <w:tc>
          <w:tcPr>
            <w:tcW w:type="dxa" w:w="3033"/>
          </w:tcPr>
          <w:p>
            <w:r>
              <w:t>Associates CA legal entity with CA hierarchy; limits cross‑entity data sharing to global employee ID</w:t>
            </w:r>
          </w:p>
        </w:tc>
      </w:tr>
      <w:tr>
        <w:tc>
          <w:tcPr>
            <w:tcW w:type="dxa" w:w="3033"/>
          </w:tcPr>
          <w:p>
            <w:r>
              <w:t>Configuration Item</w:t>
            </w:r>
          </w:p>
        </w:tc>
        <w:tc>
          <w:tcPr>
            <w:tcW w:type="dxa" w:w="3033"/>
          </w:tcPr>
          <w:p>
            <w:r>
              <w:t>Segregation of Duties Rule – HR_SoD_Compensation</w:t>
            </w:r>
          </w:p>
        </w:tc>
        <w:tc>
          <w:tcPr>
            <w:tcW w:type="dxa" w:w="3033"/>
          </w:tcPr>
          <w:p>
            <w:r>
              <w:t>Prevents same user from creating and approving compensation changes</w:t>
            </w:r>
          </w:p>
        </w:tc>
      </w:tr>
      <w:tr>
        <w:tc>
          <w:tcPr>
            <w:tcW w:type="dxa" w:w="3033"/>
          </w:tcPr>
          <w:p>
            <w:r>
              <w:t>Configuration Item</w:t>
            </w:r>
          </w:p>
        </w:tc>
        <w:tc>
          <w:tcPr>
            <w:tcW w:type="dxa" w:w="3033"/>
          </w:tcPr>
          <w:p>
            <w:r>
              <w:t>Audit Logging – Enable for Security Console</w:t>
            </w:r>
          </w:p>
        </w:tc>
        <w:tc>
          <w:tcPr>
            <w:tcW w:type="dxa" w:w="3033"/>
          </w:tcPr>
          <w:p>
            <w:r>
              <w:t>Captures all role, duty, and policy changes; daily compliance report</w:t>
            </w:r>
          </w:p>
        </w:tc>
      </w:tr>
    </w:tbl>
    <w:p>
      <w:r>
        <w:rPr>
          <w:b/>
        </w:rPr>
        <w:t xml:space="preserve">Configuration Notes: </w:t>
      </w:r>
      <w:r>
        <w:t>1. **Setup and Maintenance &gt; Security Console &gt; Manage Role Hierarchies** – Create top‑level hierarchy “MERIDIAN_HR_GLOBAL” and attach child hierarchies for each Legal Entity (US, CA, MX). Assign the global role “HR Super User” to the hierarchy root.</w:t>
        <w:br/>
        <w:t>2. **Setup and Maintenance &gt; Security Console &gt; Manage Duty Roles** – Define duty roles: “HR Core HR Manager”, “HR Compensation Manager”, “HR Benefits Manager”, “HR Credentialing Analyst”, “HR Payroll Integration Admin”. Map each duty role to the appropriate role hierarchy.</w:t>
        <w:br/>
        <w:t>3. **Setup and Maintenance &gt; Security Console &gt; Define Data Security Policies** – Create policies for:</w:t>
        <w:br/>
        <w:t xml:space="preserve">   - **PHI Access** – restrict to duty role “HR Credentialing Analyst” and “Clinical Scheduler”.</w:t>
        <w:br/>
        <w:t xml:space="preserve">   - **Compensation Confidentiality** – limit to “HR Compensation Manager” and senior leadership.</w:t>
        <w:br/>
        <w:t xml:space="preserve">   - **Benefits Data** – allow only “HR Benefits Manager” and payroll integration users.</w:t>
        <w:br/>
        <w:t>4. **Setup and Maintenance &gt; Security Console &gt; Manage Language Access** – Create language profiles “EN”, “ES”, “FR‑CA”. Assign to user groups based on employee language preference (2,100 ES, 490 FR‑CA).</w:t>
        <w:br/>
        <w:t>5. **Setup and Maintenance &gt; Security Console &gt; Manage Business Unit Security** – Associate each Business Unit (facility) with the corresponding role hierarchy to enforce facility‑level data segregation.</w:t>
        <w:br/>
        <w:t>6. **Setup and Maintenance &gt; Security Console &gt; Manage Legal Entity Security** – Map Legal Entities (USA, Canada, Mexico) to role hierarchies; enable cross‑entity data sharing only for global master data (global employee ID).</w:t>
        <w:br/>
        <w:t>7. **Setup and Maintenance &gt; Security Console &gt; Manage Integration Users** – Create OIC users: “OIC_ADP_US”, “OIC_CERIDIAN_CA”, “OIC_BENEFITFOCUS”. Assign the duty role “Integration Service User” with privileges limited to the required APIs (Hire, Transfer, Termination). Enable MFA and IP whitelisting.</w:t>
        <w:br/>
        <w:t>8. **Setup and Maintenance &gt; Security Console &gt; Manage Segregation of Duties (SoD) Rules** – Activate SoD rule set “HR_SoD_Compensation” to prevent a single user from creating and approving compensation changes.</w:t>
        <w:br/>
        <w:t>9. **Setup and Maintenance &gt; Security Console &gt; Manage Auditing** – Enable audit logging for all changes to duty roles, data security policies, and integration user activities. Schedule daily audit reports to the Compliance team.</w:t>
        <w:br/>
        <w:t>10. **Testing** – Use the “Security Console – Test Access” utility to validate role‑based access for sample users in each language and entity before go‑live.</w:t>
      </w:r>
    </w:p>
    <w:p>
      <w:pPr>
        <w:pStyle w:val="Heading2"/>
      </w:pPr>
      <w:r>
        <w:t>3.12 User Roles</w:t>
      </w:r>
    </w:p>
    <w:p>
      <w:r>
        <w:t>This section defines the role‑based security model that will govern access to Fusion Core HR, Compensation, and Benefits data for Meridian Health Systems. It outlines the role hierarchy, provisioning rules, language‑specific UI assignments, and integration‑related roles required to support multi‑country, unionized, and credential‑driven operations.</w:t>
      </w:r>
    </w:p>
    <w:p>
      <w:r>
        <w:rPr>
          <w:b/>
        </w:rPr>
        <w:t xml:space="preserve">Oracle Recommendation: </w:t>
      </w:r>
      <w:r>
        <w:t>Oracle recommends implementing a layered role hierarchy using Fusion’s standard role sets (e.g., Global HR Administrator, Business Unit HR Manager, Compensation Analyst, Benefits Administrator) combined with custom roles for credentialing and integration monitoring. Leverage the Setup and Maintenance task **Manage Role Provisioning Rules** to automate role assignment based on Legal Entity, Business Unit, and employee type. Enable bilingual and French‑Canadian UI through the **Manage Language Preferences** task and assign language‑specific help content via **Manage Help Content**.</w:t>
      </w:r>
    </w:p>
    <w:p>
      <w:r>
        <w:rPr>
          <w:b/>
        </w:rPr>
        <w:t xml:space="preserve">Meridian Health Systems, Inc. Decision: </w:t>
      </w:r>
      <w:r>
        <w:t>Adopt a hybrid role model: (1) Core standard roles for HR operations, (2) Custom roles for Clinical Credentialing (Credentialing Viewer, Credentialing Approver), (3) Integration roles (OIC Scheduler, Payroll Interface User), and (4) Language‑specific UI roles (EN‑US, ES‑ES, FR‑CA). Role provisioning will be driven by employee attributes (Legal Entity, Business Unit, Job Family, Language Preference) using the **Manage Role Provisioning Rules** task. All roles will be scoped to the appropriate security profile to satisfy compliance and segregation‑of‑duties requirements.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Standard Role Set – Global HR Administrator</w:t>
            </w:r>
          </w:p>
        </w:tc>
        <w:tc>
          <w:tcPr>
            <w:tcW w:type="dxa" w:w="3033"/>
          </w:tcPr>
          <w:p>
            <w:r>
              <w:t>Provides full access to Core HR, Compensation, Benefits across all legal entities; assigned via provisioning rule where Employee Type = HR Admin</w:t>
            </w:r>
          </w:p>
        </w:tc>
      </w:tr>
      <w:tr>
        <w:tc>
          <w:tcPr>
            <w:tcW w:type="dxa" w:w="3033"/>
          </w:tcPr>
          <w:p>
            <w:r>
              <w:t>Configuration Item</w:t>
            </w:r>
          </w:p>
        </w:tc>
        <w:tc>
          <w:tcPr>
            <w:tcW w:type="dxa" w:w="3033"/>
          </w:tcPr>
          <w:p>
            <w:r>
              <w:t>Standard Role Set – Business Unit HR Manager</w:t>
            </w:r>
          </w:p>
        </w:tc>
        <w:tc>
          <w:tcPr>
            <w:tcW w:type="dxa" w:w="3033"/>
          </w:tcPr>
          <w:p>
            <w:r>
              <w:t>Scoped to Business Unit; provisioning rule uses Business Unit attribute; required for local HR managers in each facility</w:t>
            </w:r>
          </w:p>
        </w:tc>
      </w:tr>
      <w:tr>
        <w:tc>
          <w:tcPr>
            <w:tcW w:type="dxa" w:w="3033"/>
          </w:tcPr>
          <w:p>
            <w:r>
              <w:t>Configuration Item</w:t>
            </w:r>
          </w:p>
        </w:tc>
        <w:tc>
          <w:tcPr>
            <w:tcW w:type="dxa" w:w="3033"/>
          </w:tcPr>
          <w:p>
            <w:r>
              <w:t>Custom Role – Credentialing Viewer</w:t>
            </w:r>
          </w:p>
        </w:tc>
        <w:tc>
          <w:tcPr>
            <w:tcW w:type="dxa" w:w="3033"/>
          </w:tcPr>
          <w:p>
            <w:r>
              <w:t>Read‑only access to Symplr integration status fields; provisioning rule: Job Family = Clinical Provider AND Credentialing Flag = Y</w:t>
            </w:r>
          </w:p>
        </w:tc>
      </w:tr>
      <w:tr>
        <w:tc>
          <w:tcPr>
            <w:tcW w:type="dxa" w:w="3033"/>
          </w:tcPr>
          <w:p>
            <w:r>
              <w:t>Configuration Item</w:t>
            </w:r>
          </w:p>
        </w:tc>
        <w:tc>
          <w:tcPr>
            <w:tcW w:type="dxa" w:w="3033"/>
          </w:tcPr>
          <w:p>
            <w:r>
              <w:t>Custom Role – Credentialing Approver</w:t>
            </w:r>
          </w:p>
        </w:tc>
        <w:tc>
          <w:tcPr>
            <w:tcW w:type="dxa" w:w="3033"/>
          </w:tcPr>
          <w:p>
            <w:r>
              <w:t>Allows approval of credentialing exceptions; assigned to Clinical Directors; provisioning rule includes Business Unit = Hospital AND Role = Director</w:t>
            </w:r>
          </w:p>
        </w:tc>
      </w:tr>
      <w:tr>
        <w:tc>
          <w:tcPr>
            <w:tcW w:type="dxa" w:w="3033"/>
          </w:tcPr>
          <w:p>
            <w:r>
              <w:t>Configuration Item</w:t>
            </w:r>
          </w:p>
        </w:tc>
        <w:tc>
          <w:tcPr>
            <w:tcW w:type="dxa" w:w="3033"/>
          </w:tcPr>
          <w:p>
            <w:r>
              <w:t>Custom Role – OIC Scheduler</w:t>
            </w:r>
          </w:p>
        </w:tc>
        <w:tc>
          <w:tcPr>
            <w:tcW w:type="dxa" w:w="3033"/>
          </w:tcPr>
          <w:p>
            <w:r>
              <w:t>Permission to trigger OIC integrations for hire/transfer/termination; assigned to Integration Service Account; provisioning rule based on Integration User Type = OIC</w:t>
            </w:r>
          </w:p>
        </w:tc>
      </w:tr>
      <w:tr>
        <w:tc>
          <w:tcPr>
            <w:tcW w:type="dxa" w:w="3033"/>
          </w:tcPr>
          <w:p>
            <w:r>
              <w:t>Configuration Item</w:t>
            </w:r>
          </w:p>
        </w:tc>
        <w:tc>
          <w:tcPr>
            <w:tcW w:type="dxa" w:w="3033"/>
          </w:tcPr>
          <w:p>
            <w:r>
              <w:t>Custom Role – Payroll Interface User (US)</w:t>
            </w:r>
          </w:p>
        </w:tc>
        <w:tc>
          <w:tcPr>
            <w:tcW w:type="dxa" w:w="3033"/>
          </w:tcPr>
          <w:p>
            <w:r>
              <w:t>Access to payroll data feed for ADP; scoped to Legal Entity = USA; provisioning rule uses Legal Entity attribute</w:t>
            </w:r>
          </w:p>
        </w:tc>
      </w:tr>
      <w:tr>
        <w:tc>
          <w:tcPr>
            <w:tcW w:type="dxa" w:w="3033"/>
          </w:tcPr>
          <w:p>
            <w:r>
              <w:t>Configuration Item</w:t>
            </w:r>
          </w:p>
        </w:tc>
        <w:tc>
          <w:tcPr>
            <w:tcW w:type="dxa" w:w="3033"/>
          </w:tcPr>
          <w:p>
            <w:r>
              <w:t>Custom Role – Payroll Interface User (Canada)</w:t>
            </w:r>
          </w:p>
        </w:tc>
        <w:tc>
          <w:tcPr>
            <w:tcW w:type="dxa" w:w="3033"/>
          </w:tcPr>
          <w:p>
            <w:r>
              <w:t>Access to payroll data feed for Ceridian; scoped to Legal Entity = Canada; provisioning rule uses Legal Entity attribute</w:t>
            </w:r>
          </w:p>
        </w:tc>
      </w:tr>
      <w:tr>
        <w:tc>
          <w:tcPr>
            <w:tcW w:type="dxa" w:w="3033"/>
          </w:tcPr>
          <w:p>
            <w:r>
              <w:t>Configuration Item</w:t>
            </w:r>
          </w:p>
        </w:tc>
        <w:tc>
          <w:tcPr>
            <w:tcW w:type="dxa" w:w="3033"/>
          </w:tcPr>
          <w:p>
            <w:r>
              <w:t>Language Role – EN‑US UI</w:t>
            </w:r>
          </w:p>
        </w:tc>
        <w:tc>
          <w:tcPr>
            <w:tcW w:type="dxa" w:w="3033"/>
          </w:tcPr>
          <w:p>
            <w:r>
              <w:t>Default UI language for English‑speaking employees; assigned via employee language preference (EN) in HR Data</w:t>
            </w:r>
          </w:p>
        </w:tc>
      </w:tr>
      <w:tr>
        <w:tc>
          <w:tcPr>
            <w:tcW w:type="dxa" w:w="3033"/>
          </w:tcPr>
          <w:p>
            <w:r>
              <w:t>Configuration Item</w:t>
            </w:r>
          </w:p>
        </w:tc>
        <w:tc>
          <w:tcPr>
            <w:tcW w:type="dxa" w:w="3033"/>
          </w:tcPr>
          <w:p>
            <w:r>
              <w:t>Language Role – ES‑ES UI</w:t>
            </w:r>
          </w:p>
        </w:tc>
        <w:tc>
          <w:tcPr>
            <w:tcW w:type="dxa" w:w="3033"/>
          </w:tcPr>
          <w:p>
            <w:r>
              <w:t>Spanish UI for 2,100 employees; provisioning rule: Language Preference = ES</w:t>
            </w:r>
          </w:p>
        </w:tc>
      </w:tr>
      <w:tr>
        <w:tc>
          <w:tcPr>
            <w:tcW w:type="dxa" w:w="3033"/>
          </w:tcPr>
          <w:p>
            <w:r>
              <w:t>Configuration Item</w:t>
            </w:r>
          </w:p>
        </w:tc>
        <w:tc>
          <w:tcPr>
            <w:tcW w:type="dxa" w:w="3033"/>
          </w:tcPr>
          <w:p>
            <w:r>
              <w:t>Language Role – FR‑CA UI</w:t>
            </w:r>
          </w:p>
        </w:tc>
        <w:tc>
          <w:tcPr>
            <w:tcW w:type="dxa" w:w="3033"/>
          </w:tcPr>
          <w:p>
            <w:r>
              <w:t>French‑Canadian UI for 490 employees; provisioning rule: Language Preference = FR</w:t>
            </w:r>
          </w:p>
        </w:tc>
      </w:tr>
      <w:tr>
        <w:tc>
          <w:tcPr>
            <w:tcW w:type="dxa" w:w="3033"/>
          </w:tcPr>
          <w:p>
            <w:r>
              <w:t>Configuration Item</w:t>
            </w:r>
          </w:p>
        </w:tc>
        <w:tc>
          <w:tcPr>
            <w:tcW w:type="dxa" w:w="3033"/>
          </w:tcPr>
          <w:p>
            <w:r>
              <w:t>Setup Task – Manage Role Provisioning Rules</w:t>
            </w:r>
          </w:p>
        </w:tc>
        <w:tc>
          <w:tcPr>
            <w:tcW w:type="dxa" w:w="3033"/>
          </w:tcPr>
          <w:p>
            <w:r>
              <w:t>Primary task to create all provisioning rules referenced above</w:t>
            </w:r>
          </w:p>
        </w:tc>
      </w:tr>
      <w:tr>
        <w:tc>
          <w:tcPr>
            <w:tcW w:type="dxa" w:w="3033"/>
          </w:tcPr>
          <w:p>
            <w:r>
              <w:t>Configuration Item</w:t>
            </w:r>
          </w:p>
        </w:tc>
        <w:tc>
          <w:tcPr>
            <w:tcW w:type="dxa" w:w="3033"/>
          </w:tcPr>
          <w:p>
            <w:r>
              <w:t>Setup Task – Define Role Hierarchies</w:t>
            </w:r>
          </w:p>
        </w:tc>
        <w:tc>
          <w:tcPr>
            <w:tcW w:type="dxa" w:w="3033"/>
          </w:tcPr>
          <w:p>
            <w:r>
              <w:t>Nest custom roles under standard role sets to inherit baseline privileges</w:t>
            </w:r>
          </w:p>
        </w:tc>
      </w:tr>
      <w:tr>
        <w:tc>
          <w:tcPr>
            <w:tcW w:type="dxa" w:w="3033"/>
          </w:tcPr>
          <w:p>
            <w:r>
              <w:t>Configuration Item</w:t>
            </w:r>
          </w:p>
        </w:tc>
        <w:tc>
          <w:tcPr>
            <w:tcW w:type="dxa" w:w="3033"/>
          </w:tcPr>
          <w:p>
            <w:r>
              <w:t>Setup Task – Assign Roles to Users</w:t>
            </w:r>
          </w:p>
        </w:tc>
        <w:tc>
          <w:tcPr>
            <w:tcW w:type="dxa" w:w="3033"/>
          </w:tcPr>
          <w:p>
            <w:r>
              <w:t>Bulk assign roles using HDL load files; ensures SSO accounts receive correct role set</w:t>
            </w:r>
          </w:p>
        </w:tc>
      </w:tr>
      <w:tr>
        <w:tc>
          <w:tcPr>
            <w:tcW w:type="dxa" w:w="3033"/>
          </w:tcPr>
          <w:p>
            <w:r>
              <w:t>Configuration Item</w:t>
            </w:r>
          </w:p>
        </w:tc>
        <w:tc>
          <w:tcPr>
            <w:tcW w:type="dxa" w:w="3033"/>
          </w:tcPr>
          <w:p>
            <w:r>
              <w:t>Setup Task – Manage Language Preferences</w:t>
            </w:r>
          </w:p>
        </w:tc>
        <w:tc>
          <w:tcPr>
            <w:tcW w:type="dxa" w:w="3033"/>
          </w:tcPr>
          <w:p>
            <w:r>
              <w:t>Set default UI language per employee; drives language role assignment</w:t>
            </w:r>
          </w:p>
        </w:tc>
      </w:tr>
      <w:tr>
        <w:tc>
          <w:tcPr>
            <w:tcW w:type="dxa" w:w="3033"/>
          </w:tcPr>
          <w:p>
            <w:r>
              <w:t>Configuration Item</w:t>
            </w:r>
          </w:p>
        </w:tc>
        <w:tc>
          <w:tcPr>
            <w:tcW w:type="dxa" w:w="3033"/>
          </w:tcPr>
          <w:p>
            <w:r>
              <w:t>Setup Task – Manage Help Content</w:t>
            </w:r>
          </w:p>
        </w:tc>
        <w:tc>
          <w:tcPr>
            <w:tcW w:type="dxa" w:w="3033"/>
          </w:tcPr>
          <w:p>
            <w:r>
              <w:t>Upload EN, ES, FR help articles; linked to language roles</w:t>
            </w:r>
          </w:p>
        </w:tc>
      </w:tr>
    </w:tbl>
    <w:p>
      <w:r>
        <w:rPr>
          <w:b/>
        </w:rPr>
        <w:t xml:space="preserve">Configuration Notes: </w:t>
      </w:r>
      <w:r>
        <w:t>1. Navigate to **Setup and Maintenance** → **Task: Manage Role Provisioning Rules**. Create provisioning rules for each custom role, using HR data attributes (Legal Entity = USA, Canada, Mexico; Business Unit = Hospital, Clinic; Job Family = Clinical Provider, Non‑Clinical Staff). 2. Use **Setup and Maintenance** → **Task: Define Role Hierarchies** to nest custom roles under the appropriate standard role sets. 3. Execute **Setup and Maintenance** → **Task: Assign Roles to Users** to map the provisioned roles to user accounts (SSO IDs). 4. Configure language support via **Setup and Maintenance** → **Task: Manage Language Preferences**; set default language per employee record (EN, ES, FR). 5. Load help content per language using **Setup and Maintenance** → **Task: Manage Help Content**. 6. Validate role access with **Security Console** → **Task: Run Role Access Report**. 7. Document all provisioning rules in **HDL – HCM Data Loader** scripts for future migration.</w:t>
      </w:r>
    </w:p>
    <w:p>
      <w:pPr>
        <w:pStyle w:val="Heading2"/>
      </w:pPr>
      <w:r>
        <w:t>3.13 Role Provisioning</w:t>
      </w:r>
    </w:p>
    <w:p>
      <w:r>
        <w:t>This section defines the design and configuration of Role Provisioning within Oracle Fusion HCM for Meridian Health Systems, Inc. It outlines how security roles are automatically granted and revoked based on employee lifecycle events (hire, transfer, termination) and credentialing status, ensuring compliance with healthcare regulations, union agreements, and multi‑country language requirements.</w:t>
      </w:r>
    </w:p>
    <w:p>
      <w:r>
        <w:rPr>
          <w:b/>
        </w:rPr>
        <w:t xml:space="preserve">Oracle Recommendation: </w:t>
      </w:r>
      <w:r>
        <w:t>Oracle recommends using the built‑in Role Provisioning framework (Setup and Maintenance &gt; Manage Role Provisioning Rules) combined with event‑driven OIC integrations to automatically assign security roles at the Legal Entity, Business Unit, and Job level. For multi‑language environments, enable language‑specific role descriptions and UI labels. Leverage the Role Provisioning Rule Hierarchy to support union‑specific and clinical‑credentialing based role assignments.</w:t>
      </w:r>
    </w:p>
    <w:p>
      <w:r>
        <w:rPr>
          <w:b/>
        </w:rPr>
        <w:t xml:space="preserve">Meridian Health Systems, Inc. Decision: </w:t>
      </w:r>
      <w:r>
        <w:t>Implement a centralized Role Provisioning model that:</w:t>
        <w:br/>
        <w:t>1. Uses Global Employee ID as the key identifier for all provisioning rules.</w:t>
        <w:br/>
        <w:t>2. Defines separate rule sets for Clinical Staff, Administrative Staff, Unionized Staff, and Payroll/Benefits Administrators.</w:t>
        <w:br/>
        <w:t>3. Incorporates real‑time credentialing status from Symplr via OIC to trigger the "Clinical Access" role.</w:t>
        <w:br/>
        <w:t>4. Supports bilingual (EN/ES) and French‑Canadian role labels.</w:t>
        <w:br/>
        <w:t>5. Utilizes multi‑level approval workflows (Setup and Maintenance &gt; Manage Role Provisioning Approvals) for high‑risk role changes such as compensation‑related roles.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Global Employee ID as Golden Record</w:t>
            </w:r>
          </w:p>
        </w:tc>
        <w:tc>
          <w:tcPr>
            <w:tcW w:type="dxa" w:w="3033"/>
          </w:tcPr>
          <w:p>
            <w:r>
              <w:t>Ensures a single identifier across all provisioning rules and integrations.</w:t>
            </w:r>
          </w:p>
        </w:tc>
      </w:tr>
      <w:tr>
        <w:tc>
          <w:tcPr>
            <w:tcW w:type="dxa" w:w="3033"/>
          </w:tcPr>
          <w:p>
            <w:r>
              <w:t>Configuration Item</w:t>
            </w:r>
          </w:p>
        </w:tc>
        <w:tc>
          <w:tcPr>
            <w:tcW w:type="dxa" w:w="3033"/>
          </w:tcPr>
          <w:p>
            <w:r>
              <w:t>Rule Group: CLINICAL‑STAFF</w:t>
            </w:r>
          </w:p>
        </w:tc>
        <w:tc>
          <w:tcPr>
            <w:tcW w:type="dxa" w:w="3033"/>
          </w:tcPr>
          <w:p>
            <w:r>
              <w:t>Assigns Clinical Scheduler, Provider Access, and Credentialing‑Dependent roles; triggers on hire and Symplr credential status.</w:t>
            </w:r>
          </w:p>
        </w:tc>
      </w:tr>
      <w:tr>
        <w:tc>
          <w:tcPr>
            <w:tcW w:type="dxa" w:w="3033"/>
          </w:tcPr>
          <w:p>
            <w:r>
              <w:t>Configuration Item</w:t>
            </w:r>
          </w:p>
        </w:tc>
        <w:tc>
          <w:tcPr>
            <w:tcW w:type="dxa" w:w="3033"/>
          </w:tcPr>
          <w:p>
            <w:r>
              <w:t>Rule Group: UNION‑STAFF</w:t>
            </w:r>
          </w:p>
        </w:tc>
        <w:tc>
          <w:tcPr>
            <w:tcW w:type="dxa" w:w="3033"/>
          </w:tcPr>
          <w:p>
            <w:r>
              <w:t>Includes union‑specific security roles; hierarchy inherits from ADMIN‑STAFF to avoid duplication.</w:t>
            </w:r>
          </w:p>
        </w:tc>
      </w:tr>
      <w:tr>
        <w:tc>
          <w:tcPr>
            <w:tcW w:type="dxa" w:w="3033"/>
          </w:tcPr>
          <w:p>
            <w:r>
              <w:t>Configuration Item</w:t>
            </w:r>
          </w:p>
        </w:tc>
        <w:tc>
          <w:tcPr>
            <w:tcW w:type="dxa" w:w="3033"/>
          </w:tcPr>
          <w:p>
            <w:r>
              <w:t>Rule Trigger: SymplrCredentialStatus (OIC)</w:t>
            </w:r>
          </w:p>
        </w:tc>
        <w:tc>
          <w:tcPr>
            <w:tcW w:type="dxa" w:w="3033"/>
          </w:tcPr>
          <w:p>
            <w:r>
              <w:t>Real‑time credentialing feed; when status = "Active" grant Clinical Access role, else revoke.</w:t>
            </w:r>
          </w:p>
        </w:tc>
      </w:tr>
      <w:tr>
        <w:tc>
          <w:tcPr>
            <w:tcW w:type="dxa" w:w="3033"/>
          </w:tcPr>
          <w:p>
            <w:r>
              <w:t>Configuration Item</w:t>
            </w:r>
          </w:p>
        </w:tc>
        <w:tc>
          <w:tcPr>
            <w:tcW w:type="dxa" w:w="3033"/>
          </w:tcPr>
          <w:p>
            <w:r>
              <w:t>Approval Chain: Manager → HR Business Partner → Compliance Officer</w:t>
            </w:r>
          </w:p>
        </w:tc>
        <w:tc>
          <w:tcPr>
            <w:tcW w:type="dxa" w:w="3033"/>
          </w:tcPr>
          <w:p>
            <w:r>
              <w:t>Multi‑level approval satisfies governance for high‑risk roles (compensation, clinical access).</w:t>
            </w:r>
          </w:p>
        </w:tc>
      </w:tr>
      <w:tr>
        <w:tc>
          <w:tcPr>
            <w:tcW w:type="dxa" w:w="3033"/>
          </w:tcPr>
          <w:p>
            <w:r>
              <w:t>Configuration Item</w:t>
            </w:r>
          </w:p>
        </w:tc>
        <w:tc>
          <w:tcPr>
            <w:tcW w:type="dxa" w:w="3033"/>
          </w:tcPr>
          <w:p>
            <w:r>
              <w:t>Language Translations: EN, ES, FR‑CA</w:t>
            </w:r>
          </w:p>
        </w:tc>
        <w:tc>
          <w:tcPr>
            <w:tcW w:type="dxa" w:w="3033"/>
          </w:tcPr>
          <w:p>
            <w:r>
              <w:t>Role descriptions and UI labels localized to support 2,590 non‑English users.</w:t>
            </w:r>
          </w:p>
        </w:tc>
      </w:tr>
      <w:tr>
        <w:tc>
          <w:tcPr>
            <w:tcW w:type="dxa" w:w="3033"/>
          </w:tcPr>
          <w:p>
            <w:r>
              <w:t>Configuration Item</w:t>
            </w:r>
          </w:p>
        </w:tc>
        <w:tc>
          <w:tcPr>
            <w:tcW w:type="dxa" w:w="3033"/>
          </w:tcPr>
          <w:p>
            <w:r>
              <w:t>Integration Point: OIC – Person Event Publisher</w:t>
            </w:r>
          </w:p>
        </w:tc>
        <w:tc>
          <w:tcPr>
            <w:tcW w:type="dxa" w:w="3033"/>
          </w:tcPr>
          <w:p>
            <w:r>
              <w:t>Publishes lifecycle events to Fusion Role Provisioning Service for automatic role assignment.</w:t>
            </w:r>
          </w:p>
        </w:tc>
      </w:tr>
      <w:tr>
        <w:tc>
          <w:tcPr>
            <w:tcW w:type="dxa" w:w="3033"/>
          </w:tcPr>
          <w:p>
            <w:r>
              <w:t>Configuration Item</w:t>
            </w:r>
          </w:p>
        </w:tc>
        <w:tc>
          <w:tcPr>
            <w:tcW w:type="dxa" w:w="3033"/>
          </w:tcPr>
          <w:p>
            <w:r>
              <w:t>Monitoring: Fusion Audit Log – Role Provisioning</w:t>
            </w:r>
          </w:p>
        </w:tc>
        <w:tc>
          <w:tcPr>
            <w:tcW w:type="dxa" w:w="3033"/>
          </w:tcPr>
          <w:p>
            <w:r>
              <w:t>Provides traceability for compliance audits and troubleshooting.</w:t>
            </w:r>
          </w:p>
        </w:tc>
      </w:tr>
    </w:tbl>
    <w:p>
      <w:r>
        <w:rPr>
          <w:b/>
        </w:rPr>
        <w:t xml:space="preserve">Configuration Notes: </w:t>
      </w:r>
      <w:r>
        <w:t>1. **Setup and Maintenance &gt; Manage Role Provisioning Rules** – Create rule groups: CLINICAL‑STAFF, ADMIN‑STAFF, UNION‑STAFF, PAYROLL‑BENEFITS.</w:t>
        <w:br/>
        <w:t>2. **Setup and Maintenance &gt; Define Role Provisioning Rule** – For each rule, map:</w:t>
        <w:br/>
        <w:t xml:space="preserve">   - **Source Object**: Person (Global Employee ID)</w:t>
        <w:br/>
        <w:t xml:space="preserve">   - **Trigger Event**: Hire, Transfer, Termination, Credentialing Update (via OIC message type "SymplrCredentialStatus").</w:t>
        <w:br/>
        <w:t xml:space="preserve">   - **Target Role**: Select from pre‑defined Fusion security roles (e.g., "HCM Core HR Manager", "Compensation Administrator", "Clinical Scheduler").</w:t>
        <w:br/>
        <w:t>3. **Setup and Maintenance &gt; Manage Role Provisioning Rule Hierarchies** – Nest UNION‑STAFF under ADMIN‑STAFF to inherit base permissions and then apply union‑specific overrides.</w:t>
        <w:br/>
        <w:t>4. **Setup and Maintenance &gt; Manage Role Provisioning Approvals** – Configure approval chain: Department Manager → HR Business Partner → Compliance Officer for any role assignment that includes compensation or clinical access.</w:t>
        <w:br/>
        <w:t>5. **Setup and Maintenance &gt; Manage Role Provisioning Language Translations** – Upload role description translations for EN, ES, FR‑CA using the "Language Translations" tab.</w:t>
        <w:br/>
        <w:t>6. **Integration** – Build OIC integration flows:</w:t>
        <w:br/>
        <w:t xml:space="preserve">   - **Hire/Transfer/Termination**: Publish Person Event to Fusion Role Provisioning Service.</w:t>
        <w:br/>
        <w:t xml:space="preserve">   - **Credentialing Update**: Subscribe to Symplr webhook, map status to "Clinical Access" rule.</w:t>
        <w:br/>
        <w:t>7. **Testing** – Use HDL – HCM Data Loader to load test employee records with varied attributes (Legal Entity, Business Unit, Union Code, Credentialing Flag) and validate role assignments via the "View Role Provisioning History" task.</w:t>
        <w:br/>
        <w:t>8. **Monitoring** – Enable Fusion Audit Log for "Role Provisioning" and set up a daily OIC report to reconcile provisioned roles against source systems.</w:t>
      </w:r>
    </w:p>
    <w:p>
      <w:pPr>
        <w:pStyle w:val="Heading2"/>
      </w:pPr>
      <w:r>
        <w:t>3.14 Approvals</w:t>
      </w:r>
    </w:p>
    <w:p>
      <w:r>
        <w:t>This section defines the configuration of all approval transactions required to support requisition, compensation, and termination processes across Meridian Health Systems’ multi‑entity, multi‑language environment. Approvals ensure governance, compliance with union contracts, and timely execution of hiring and off‑boarding while providing an auditable trail for regulatory reporting.</w:t>
      </w:r>
    </w:p>
    <w:p>
      <w:r>
        <w:rPr>
          <w:b/>
        </w:rPr>
        <w:t xml:space="preserve">Oracle Recommendation: </w:t>
      </w:r>
      <w:r>
        <w:t>Oracle recommends using the native HCM Approval Engine (Setup and Maintenance task **Manage HCM Approval Transactions**) combined with **Define Approval Rules**, **Define Approval Hierarchies**, and **Manage Approval Groups**. Leverage the **Approval Templates** feature to create reusable, multi‑level, language‑aware workflows and enable OIC‑driven event notifications for downstream payroll and credentialing integrations.</w:t>
      </w:r>
    </w:p>
    <w:p>
      <w:r>
        <w:rPr>
          <w:b/>
        </w:rPr>
        <w:t xml:space="preserve">Meridian Health Systems, Inc. Decision: </w:t>
      </w:r>
      <w:r>
        <w:t xml:space="preserve">Implement a single, configurable approval framework that supports: </w:t>
        <w:br/>
        <w:t xml:space="preserve">1. Requisition approvals (3‑level: Hiring Manager → Department Head → Union Representative). </w:t>
        <w:br/>
        <w:t xml:space="preserve">2. Compensation change approvals (2‑level: Manager → Compensation Committee). </w:t>
        <w:br/>
        <w:t xml:space="preserve">3. Termination approvals (2‑level: Manager → HR Business Partner). </w:t>
        <w:br/>
        <w:t>All workflows will be language‑aware (EN/ES/FR‑CA) and will trigger OIC events to ADP, Ceridian, Benefitfocus, Symplr, and Epic. The global employee ID will be the key identifier in all approval transactions.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Approval Template – Requisition</w:t>
            </w:r>
          </w:p>
        </w:tc>
        <w:tc>
          <w:tcPr>
            <w:tcW w:type="dxa" w:w="3033"/>
          </w:tcPr>
          <w:p>
            <w:r>
              <w:t>3‑level workflow (Hiring Manager → Department Head → Union Rep); language‑aware; linked to OIC event 'RequisitionApprovalCompleted'</w:t>
            </w:r>
          </w:p>
        </w:tc>
      </w:tr>
      <w:tr>
        <w:tc>
          <w:tcPr>
            <w:tcW w:type="dxa" w:w="3033"/>
          </w:tcPr>
          <w:p>
            <w:r>
              <w:t>Configuration Item</w:t>
            </w:r>
          </w:p>
        </w:tc>
        <w:tc>
          <w:tcPr>
            <w:tcW w:type="dxa" w:w="3033"/>
          </w:tcPr>
          <w:p>
            <w:r>
              <w:t>Approval Template – Compensation Change</w:t>
            </w:r>
          </w:p>
        </w:tc>
        <w:tc>
          <w:tcPr>
            <w:tcW w:type="dxa" w:w="3033"/>
          </w:tcPr>
          <w:p>
            <w:r>
              <w:t>2‑level workflow (Manager → Compensation Committee); includes budget validation rule; supports EN/ES/FR‑CA UI</w:t>
            </w:r>
          </w:p>
        </w:tc>
      </w:tr>
      <w:tr>
        <w:tc>
          <w:tcPr>
            <w:tcW w:type="dxa" w:w="3033"/>
          </w:tcPr>
          <w:p>
            <w:r>
              <w:t>Configuration Item</w:t>
            </w:r>
          </w:p>
        </w:tc>
        <w:tc>
          <w:tcPr>
            <w:tcW w:type="dxa" w:w="3033"/>
          </w:tcPr>
          <w:p>
            <w:r>
              <w:t>Approval Template – Termination</w:t>
            </w:r>
          </w:p>
        </w:tc>
        <w:tc>
          <w:tcPr>
            <w:tcW w:type="dxa" w:w="3033"/>
          </w:tcPr>
          <w:p>
            <w:r>
              <w:t>2‑level workflow (Manager → HR Business Partner); triggers OIC 'TerminationApprovalCompleted' to payroll and Symplr</w:t>
            </w:r>
          </w:p>
        </w:tc>
      </w:tr>
      <w:tr>
        <w:tc>
          <w:tcPr>
            <w:tcW w:type="dxa" w:w="3033"/>
          </w:tcPr>
          <w:p>
            <w:r>
              <w:t>Configuration Item</w:t>
            </w:r>
          </w:p>
        </w:tc>
        <w:tc>
          <w:tcPr>
            <w:tcW w:type="dxa" w:w="3033"/>
          </w:tcPr>
          <w:p>
            <w:r>
              <w:t>Approval Rule – Hire Event</w:t>
            </w:r>
          </w:p>
        </w:tc>
        <w:tc>
          <w:tcPr>
            <w:tcW w:type="dxa" w:w="3033"/>
          </w:tcPr>
          <w:p>
            <w:r>
              <w:t>Maps Hire transaction to Requisition approval template; applies to all legal entities</w:t>
            </w:r>
          </w:p>
        </w:tc>
      </w:tr>
      <w:tr>
        <w:tc>
          <w:tcPr>
            <w:tcW w:type="dxa" w:w="3033"/>
          </w:tcPr>
          <w:p>
            <w:r>
              <w:t>Configuration Item</w:t>
            </w:r>
          </w:p>
        </w:tc>
        <w:tc>
          <w:tcPr>
            <w:tcW w:type="dxa" w:w="3033"/>
          </w:tcPr>
          <w:p>
            <w:r>
              <w:t>Approval Rule – Compensation Event</w:t>
            </w:r>
          </w:p>
        </w:tc>
        <w:tc>
          <w:tcPr>
            <w:tcW w:type="dxa" w:w="3033"/>
          </w:tcPr>
          <w:p>
            <w:r>
              <w:t>Maps Compensation Change transaction to Compensation Change template; includes salary‑band validation</w:t>
            </w:r>
          </w:p>
        </w:tc>
      </w:tr>
      <w:tr>
        <w:tc>
          <w:tcPr>
            <w:tcW w:type="dxa" w:w="3033"/>
          </w:tcPr>
          <w:p>
            <w:r>
              <w:t>Configuration Item</w:t>
            </w:r>
          </w:p>
        </w:tc>
        <w:tc>
          <w:tcPr>
            <w:tcW w:type="dxa" w:w="3033"/>
          </w:tcPr>
          <w:p>
            <w:r>
              <w:t>Approval Hierarchy – US Legal Entity</w:t>
            </w:r>
          </w:p>
        </w:tc>
        <w:tc>
          <w:tcPr>
            <w:tcW w:type="dxa" w:w="3033"/>
          </w:tcPr>
          <w:p>
            <w:r>
              <w:t>Defines three hierarchy levels aligned with union contract; uses Business Unit hierarchy</w:t>
            </w:r>
          </w:p>
        </w:tc>
      </w:tr>
      <w:tr>
        <w:tc>
          <w:tcPr>
            <w:tcW w:type="dxa" w:w="3033"/>
          </w:tcPr>
          <w:p>
            <w:r>
              <w:t>Configuration Item</w:t>
            </w:r>
          </w:p>
        </w:tc>
        <w:tc>
          <w:tcPr>
            <w:tcW w:type="dxa" w:w="3033"/>
          </w:tcPr>
          <w:p>
            <w:r>
              <w:t>Approval Hierarchy – Canada Legal Entity</w:t>
            </w:r>
          </w:p>
        </w:tc>
        <w:tc>
          <w:tcPr>
            <w:tcW w:type="dxa" w:w="3033"/>
          </w:tcPr>
          <w:p>
            <w:r>
              <w:t>Two hierarchy levels; includes French‑Canadian union representation</w:t>
            </w:r>
          </w:p>
        </w:tc>
      </w:tr>
      <w:tr>
        <w:tc>
          <w:tcPr>
            <w:tcW w:type="dxa" w:w="3033"/>
          </w:tcPr>
          <w:p>
            <w:r>
              <w:t>Configuration Item</w:t>
            </w:r>
          </w:p>
        </w:tc>
        <w:tc>
          <w:tcPr>
            <w:tcW w:type="dxa" w:w="3033"/>
          </w:tcPr>
          <w:p>
            <w:r>
              <w:t>Approval Group – Union Representatives</w:t>
            </w:r>
          </w:p>
        </w:tc>
        <w:tc>
          <w:tcPr>
            <w:tcW w:type="dxa" w:w="3033"/>
          </w:tcPr>
          <w:p>
            <w:r>
              <w:t>Group members imported via HDL; group name translated (EN/ES/FR‑CA)</w:t>
            </w:r>
          </w:p>
        </w:tc>
      </w:tr>
      <w:tr>
        <w:tc>
          <w:tcPr>
            <w:tcW w:type="dxa" w:w="3033"/>
          </w:tcPr>
          <w:p>
            <w:r>
              <w:t>Configuration Item</w:t>
            </w:r>
          </w:p>
        </w:tc>
        <w:tc>
          <w:tcPr>
            <w:tcW w:type="dxa" w:w="3033"/>
          </w:tcPr>
          <w:p>
            <w:r>
              <w:t>Language Translation – Approval Messages</w:t>
            </w:r>
          </w:p>
        </w:tc>
        <w:tc>
          <w:tcPr>
            <w:tcW w:type="dxa" w:w="3033"/>
          </w:tcPr>
          <w:p>
            <w:r>
              <w:t>Managed via Manage Language Translations; 3 language packs uploaded for EN, ES, FR‑CA</w:t>
            </w:r>
          </w:p>
        </w:tc>
      </w:tr>
      <w:tr>
        <w:tc>
          <w:tcPr>
            <w:tcW w:type="dxa" w:w="3033"/>
          </w:tcPr>
          <w:p>
            <w:r>
              <w:t>Configuration Item</w:t>
            </w:r>
          </w:p>
        </w:tc>
        <w:tc>
          <w:tcPr>
            <w:tcW w:type="dxa" w:w="3033"/>
          </w:tcPr>
          <w:p>
            <w:r>
              <w:t>OIC Integration – Approval Transaction Event</w:t>
            </w:r>
          </w:p>
        </w:tc>
        <w:tc>
          <w:tcPr>
            <w:tcW w:type="dxa" w:w="3033"/>
          </w:tcPr>
          <w:p>
            <w:r>
              <w:t>Publish to ADP, Ceridian, Benefitfocus, Symplr, Epic; uses Integration Cloud Service 'HCM_Approval_Events'</w:t>
            </w:r>
          </w:p>
        </w:tc>
      </w:tr>
    </w:tbl>
    <w:p>
      <w:r>
        <w:rPr>
          <w:b/>
        </w:rPr>
        <w:t xml:space="preserve">Configuration Notes: </w:t>
      </w:r>
      <w:r>
        <w:t xml:space="preserve">1. **Setup Task:** Manage HCM Approval Transactions – create approval templates for Requisition, Compensation Change, and Termination. </w:t>
        <w:br/>
        <w:t xml:space="preserve">2. **Setup Task:** Define Approval Rules – map business events (Hire, Transfer, Termination) to the appropriate templates. </w:t>
        <w:br/>
        <w:t xml:space="preserve">3. **Setup Task:** Define Approval Hierarchies – configure hierarchy levels per legal entity and union contract. </w:t>
        <w:br/>
        <w:t xml:space="preserve">4. **Setup Task:** Manage Approval Groups – assign users (Hiring Managers, Department Heads, Union Reps, Compensation Committee members) to groups; enable bilingual group names. </w:t>
        <w:br/>
        <w:t xml:space="preserve">5. **Setup Task:** Manage Language Translations – upload EN, ES, FR‑CA translations for all approval messages and help content. </w:t>
        <w:br/>
        <w:t xml:space="preserve">6. **Integration:** Configure OIC integration points (Hire/Transfer/Termination) to publish **Approval Transaction** events to payroll providers and credentialing systems. </w:t>
        <w:br/>
        <w:t xml:space="preserve">7. **Security:** Apply data security policies (HR Data Security) to restrict visibility of pending approvals to authorized approvers only. </w:t>
        <w:br/>
        <w:t>8. **Testing:** Execute end‑to‑end scenario testing for each workflow variant across the four legal entities and validate language rendering.</w:t>
      </w:r>
    </w:p>
    <w:p>
      <w:pPr>
        <w:pStyle w:val="Heading2"/>
      </w:pPr>
      <w:r>
        <w:t>3.15 Alerts</w:t>
      </w:r>
    </w:p>
    <w:p>
      <w:r>
        <w:t>This section defines the design and configuration of Oracle Fusion HCM Alerts that will notify stakeholders of critical HR events (hire, transfer, termination, credentialing status change, compensation change, etc.). Alerts are essential for Meridian Health Systems to enforce real‑time compliance, support multi‑country operations, and drive the event‑driven integration framework (OIC) that feeds payroll, IT provisioning, and clinical scheduling systems.</w:t>
      </w:r>
    </w:p>
    <w:p>
      <w:r>
        <w:rPr>
          <w:b/>
        </w:rPr>
        <w:t xml:space="preserve">Oracle Recommendation: </w:t>
      </w:r>
      <w:r>
        <w:t>Oracle recommends using the standard HCM Alerts framework (Setup and Maintenance &gt; Workforce Structures &gt; Manage HCM Alerts) with language‑specific alert templates, multi‑level escalation rules, and OIC‑enabled outbound notifications. For a high‑complexity, multi‑country healthcare organization, enable both in‑application pop‑ups and email/SMS delivery, and configure alert language inheritance from the employee’s preferred language (EN, ES, FR‑CA).</w:t>
      </w:r>
    </w:p>
    <w:p>
      <w:r>
        <w:rPr>
          <w:b/>
        </w:rPr>
        <w:t xml:space="preserve">Meridian Health Systems, Inc. Decision: </w:t>
      </w:r>
      <w:r>
        <w:t>Implement a unified Alerts strategy that (1) creates a global set of core alert types (Hire, Transfer, Termination, Credentialing Status, Compensation Change), (2) extends each alert with country‑specific sub‑types (e.g., US‑Payroll‑Onboarding, Canada‑Benefits‑Enrollment), (3) assigns bilingual (EN/ES) and French‑Canadian (FR‑CA) alert templates, (4) routes alerts to functional owners, HR business partners, and external OIC endpoints, and (5) leverages escalation levels to meet compliance SLAs for credentialing and unionized workforce notifications.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Alert Type – Global Hire</w:t>
            </w:r>
          </w:p>
        </w:tc>
        <w:tc>
          <w:tcPr>
            <w:tcW w:type="dxa" w:w="3033"/>
          </w:tcPr>
          <w:p>
            <w:r>
              <w:t>Triggers on event Hire; used for all legal entities; base template EN/ES/FR‑CA</w:t>
            </w:r>
          </w:p>
        </w:tc>
      </w:tr>
      <w:tr>
        <w:tc>
          <w:tcPr>
            <w:tcW w:type="dxa" w:w="3033"/>
          </w:tcPr>
          <w:p>
            <w:r>
              <w:t>Configuration Item</w:t>
            </w:r>
          </w:p>
        </w:tc>
        <w:tc>
          <w:tcPr>
            <w:tcW w:type="dxa" w:w="3033"/>
          </w:tcPr>
          <w:p>
            <w:r>
              <w:t>Alert Type – US Payroll Onboarding</w:t>
            </w:r>
          </w:p>
        </w:tc>
        <w:tc>
          <w:tcPr>
            <w:tcW w:type="dxa" w:w="3033"/>
          </w:tcPr>
          <w:p>
            <w:r>
              <w:t>Country‑specific sub‑type; routes to ADP OIC endpoint; includes payroll start date</w:t>
            </w:r>
          </w:p>
        </w:tc>
      </w:tr>
      <w:tr>
        <w:tc>
          <w:tcPr>
            <w:tcW w:type="dxa" w:w="3033"/>
          </w:tcPr>
          <w:p>
            <w:r>
              <w:t>Configuration Item</w:t>
            </w:r>
          </w:p>
        </w:tc>
        <w:tc>
          <w:tcPr>
            <w:tcW w:type="dxa" w:w="3033"/>
          </w:tcPr>
          <w:p>
            <w:r>
              <w:t>Alert Type – Canada Benefits Enrollment</w:t>
            </w:r>
          </w:p>
        </w:tc>
        <w:tc>
          <w:tcPr>
            <w:tcW w:type="dxa" w:w="3033"/>
          </w:tcPr>
          <w:p>
            <w:r>
              <w:t>Routes to Benefitfocus via OIC; includes employee’s benefit election data</w:t>
            </w:r>
          </w:p>
        </w:tc>
      </w:tr>
      <w:tr>
        <w:tc>
          <w:tcPr>
            <w:tcW w:type="dxa" w:w="3033"/>
          </w:tcPr>
          <w:p>
            <w:r>
              <w:t>Configuration Item</w:t>
            </w:r>
          </w:p>
        </w:tc>
        <w:tc>
          <w:tcPr>
            <w:tcW w:type="dxa" w:w="3033"/>
          </w:tcPr>
          <w:p>
            <w:r>
              <w:t>Alert Type – Credentialing Status Change</w:t>
            </w:r>
          </w:p>
        </w:tc>
        <w:tc>
          <w:tcPr>
            <w:tcW w:type="dxa" w:w="3033"/>
          </w:tcPr>
          <w:p>
            <w:r>
              <w:t>Consumes Symplr real‑time status; flags scheduling system; escalation to Clinical Scheduling Lead within 1 hr</w:t>
            </w:r>
          </w:p>
        </w:tc>
      </w:tr>
      <w:tr>
        <w:tc>
          <w:tcPr>
            <w:tcW w:type="dxa" w:w="3033"/>
          </w:tcPr>
          <w:p>
            <w:r>
              <w:t>Configuration Item</w:t>
            </w:r>
          </w:p>
        </w:tc>
        <w:tc>
          <w:tcPr>
            <w:tcW w:type="dxa" w:w="3033"/>
          </w:tcPr>
          <w:p>
            <w:r>
              <w:t>Alert Template – EN (Hire)</w:t>
            </w:r>
          </w:p>
        </w:tc>
        <w:tc>
          <w:tcPr>
            <w:tcW w:type="dxa" w:w="3033"/>
          </w:tcPr>
          <w:p>
            <w:r>
              <w:t>Subject: "New Hire Notification – {Employee_Name}"; body includes Legal Entity, Business Unit, Global Employee ID</w:t>
            </w:r>
          </w:p>
        </w:tc>
      </w:tr>
      <w:tr>
        <w:tc>
          <w:tcPr>
            <w:tcW w:type="dxa" w:w="3033"/>
          </w:tcPr>
          <w:p>
            <w:r>
              <w:t>Configuration Item</w:t>
            </w:r>
          </w:p>
        </w:tc>
        <w:tc>
          <w:tcPr>
            <w:tcW w:type="dxa" w:w="3033"/>
          </w:tcPr>
          <w:p>
            <w:r>
              <w:t>Alert Template – ES (Hire)</w:t>
            </w:r>
          </w:p>
        </w:tc>
        <w:tc>
          <w:tcPr>
            <w:tcW w:type="dxa" w:w="3033"/>
          </w:tcPr>
          <w:p>
            <w:r>
              <w:t>Translated subject and body; uses same merge fields; complies with bilingual UI requirement</w:t>
            </w:r>
          </w:p>
        </w:tc>
      </w:tr>
      <w:tr>
        <w:tc>
          <w:tcPr>
            <w:tcW w:type="dxa" w:w="3033"/>
          </w:tcPr>
          <w:p>
            <w:r>
              <w:t>Configuration Item</w:t>
            </w:r>
          </w:p>
        </w:tc>
        <w:tc>
          <w:tcPr>
            <w:tcW w:type="dxa" w:w="3033"/>
          </w:tcPr>
          <w:p>
            <w:r>
              <w:t>Alert Template – FR‑CA (Hire)</w:t>
            </w:r>
          </w:p>
        </w:tc>
        <w:tc>
          <w:tcPr>
            <w:tcW w:type="dxa" w:w="3033"/>
          </w:tcPr>
          <w:p>
            <w:r>
              <w:t>French‑Canadian version for Quebec facilities; mandatory for 490 French‑speaking staff</w:t>
            </w:r>
          </w:p>
        </w:tc>
      </w:tr>
      <w:tr>
        <w:tc>
          <w:tcPr>
            <w:tcW w:type="dxa" w:w="3033"/>
          </w:tcPr>
          <w:p>
            <w:r>
              <w:t>Configuration Item</w:t>
            </w:r>
          </w:p>
        </w:tc>
        <w:tc>
          <w:tcPr>
            <w:tcW w:type="dxa" w:w="3033"/>
          </w:tcPr>
          <w:p>
            <w:r>
              <w:t>Alert Recipient Group – HR Business Partner (US)</w:t>
            </w:r>
          </w:p>
        </w:tc>
        <w:tc>
          <w:tcPr>
            <w:tcW w:type="dxa" w:w="3033"/>
          </w:tcPr>
          <w:p>
            <w:r>
              <w:t>Assigned to all US legal entities; receives pop‑up and email alerts</w:t>
            </w:r>
          </w:p>
        </w:tc>
      </w:tr>
      <w:tr>
        <w:tc>
          <w:tcPr>
            <w:tcW w:type="dxa" w:w="3033"/>
          </w:tcPr>
          <w:p>
            <w:r>
              <w:t>Configuration Item</w:t>
            </w:r>
          </w:p>
        </w:tc>
        <w:tc>
          <w:tcPr>
            <w:tcW w:type="dxa" w:w="3033"/>
          </w:tcPr>
          <w:p>
            <w:r>
              <w:t>Alert Recipient Group – Payroll Administrator (Canada)</w:t>
            </w:r>
          </w:p>
        </w:tc>
        <w:tc>
          <w:tcPr>
            <w:tcW w:type="dxa" w:w="3033"/>
          </w:tcPr>
          <w:p>
            <w:r>
              <w:t>Receives email alerts; OIC service account added for automated processing</w:t>
            </w:r>
          </w:p>
        </w:tc>
      </w:tr>
      <w:tr>
        <w:tc>
          <w:tcPr>
            <w:tcW w:type="dxa" w:w="3033"/>
          </w:tcPr>
          <w:p>
            <w:r>
              <w:t>Configuration Item</w:t>
            </w:r>
          </w:p>
        </w:tc>
        <w:tc>
          <w:tcPr>
            <w:tcW w:type="dxa" w:w="3033"/>
          </w:tcPr>
          <w:p>
            <w:r>
              <w:t>Delivery Channel – Email (SMTP)</w:t>
            </w:r>
          </w:p>
        </w:tc>
        <w:tc>
          <w:tcPr>
            <w:tcW w:type="dxa" w:w="3033"/>
          </w:tcPr>
          <w:p>
            <w:r>
              <w:t>Configured in *Define Alert Delivery Channels*; uses corporate mail server with TLS</w:t>
            </w:r>
          </w:p>
        </w:tc>
      </w:tr>
      <w:tr>
        <w:tc>
          <w:tcPr>
            <w:tcW w:type="dxa" w:w="3033"/>
          </w:tcPr>
          <w:p>
            <w:r>
              <w:t>Configuration Item</w:t>
            </w:r>
          </w:p>
        </w:tc>
        <w:tc>
          <w:tcPr>
            <w:tcW w:type="dxa" w:w="3033"/>
          </w:tcPr>
          <w:p>
            <w:r>
              <w:t>Delivery Channel – SMS (Twilio)</w:t>
            </w:r>
          </w:p>
        </w:tc>
        <w:tc>
          <w:tcPr>
            <w:tcW w:type="dxa" w:w="3033"/>
          </w:tcPr>
          <w:p>
            <w:r>
              <w:t>Enabled for high‑priority credentialing alerts; phone numbers stored in employee profile</w:t>
            </w:r>
          </w:p>
        </w:tc>
      </w:tr>
      <w:tr>
        <w:tc>
          <w:tcPr>
            <w:tcW w:type="dxa" w:w="3033"/>
          </w:tcPr>
          <w:p>
            <w:r>
              <w:t>Configuration Item</w:t>
            </w:r>
          </w:p>
        </w:tc>
        <w:tc>
          <w:tcPr>
            <w:tcW w:type="dxa" w:w="3033"/>
          </w:tcPr>
          <w:p>
            <w:r>
              <w:t>Escalation Level 1 – Owner</w:t>
            </w:r>
          </w:p>
        </w:tc>
        <w:tc>
          <w:tcPr>
            <w:tcW w:type="dxa" w:w="3033"/>
          </w:tcPr>
          <w:p>
            <w:r>
              <w:t>30 minutes SLA; auto‑reminder if not acknowledged</w:t>
            </w:r>
          </w:p>
        </w:tc>
      </w:tr>
      <w:tr>
        <w:tc>
          <w:tcPr>
            <w:tcW w:type="dxa" w:w="3033"/>
          </w:tcPr>
          <w:p>
            <w:r>
              <w:t>Configuration Item</w:t>
            </w:r>
          </w:p>
        </w:tc>
        <w:tc>
          <w:tcPr>
            <w:tcW w:type="dxa" w:w="3033"/>
          </w:tcPr>
          <w:p>
            <w:r>
              <w:t>Escalation Level 2 – HR Manager</w:t>
            </w:r>
          </w:p>
        </w:tc>
        <w:tc>
          <w:tcPr>
            <w:tcW w:type="dxa" w:w="3033"/>
          </w:tcPr>
          <w:p>
            <w:r>
              <w:t>2 hours SLA; escalates if Level 1 not resolved</w:t>
            </w:r>
          </w:p>
        </w:tc>
      </w:tr>
      <w:tr>
        <w:tc>
          <w:tcPr>
            <w:tcW w:type="dxa" w:w="3033"/>
          </w:tcPr>
          <w:p>
            <w:r>
              <w:t>Configuration Item</w:t>
            </w:r>
          </w:p>
        </w:tc>
        <w:tc>
          <w:tcPr>
            <w:tcW w:type="dxa" w:w="3033"/>
          </w:tcPr>
          <w:p>
            <w:r>
              <w:t>Escalation Level 3 – Compliance Officer</w:t>
            </w:r>
          </w:p>
        </w:tc>
        <w:tc>
          <w:tcPr>
            <w:tcW w:type="dxa" w:w="3033"/>
          </w:tcPr>
          <w:p>
            <w:r>
              <w:t>4 hours SLA; required for credentialing and union‑related alerts</w:t>
            </w:r>
          </w:p>
        </w:tc>
      </w:tr>
    </w:tbl>
    <w:p>
      <w:r>
        <w:rPr>
          <w:b/>
        </w:rPr>
        <w:t xml:space="preserve">Configuration Notes: </w:t>
      </w:r>
      <w:r>
        <w:t>1. Navigate to **Setup and Maintenance** → **Workforce Structures** → **Manage HCM Alerts**.</w:t>
        <w:br/>
        <w:t>2. **Define Alert Types** – Use task *Define Alert Types* to create global and country‑specific alert categories.</w:t>
        <w:br/>
        <w:t>3. **Create Alert Templates** – Task *Define Alert Templates*; select language (EN, ES, FR‑CA) and include merge fields for employee name, legal entity, business unit, and credentialing status.</w:t>
        <w:br/>
        <w:t>4. **Configure Alert Rules** – Task *Define Alert Rules*; map each HR event (Hire, Transfer, Termination, Credentialing Update, Compensation Change) to the appropriate alert type and template.</w:t>
        <w:br/>
        <w:t>5. **Assign Recipients &amp; Roles** – Task *Assign Alert Recipients*; use role‑based groups (HR Business Partner, Payroll Administrator, Clinical Scheduling Lead) and add external OIC service accounts for outbound API calls.</w:t>
        <w:br/>
        <w:t>6. **Set Delivery Channels** – Task *Define Alert Delivery Channels*; enable Fusion UI pop‑up, email (SMTP), and SMS (Twilio) with language fallback.</w:t>
        <w:br/>
        <w:t>7. **Enable Escalation** – Task *Define Alert Escalation*; configure Level 1 (owner), Level 2 (HR Manager), Level 3 (Compliance Officer) with SLA timers (e.g., 2 hrs for credentialing alerts).</w:t>
        <w:br/>
        <w:t>8. **Test End‑to‑End** – Use *Validate Alert Configuration* and OIC test harness to verify that alerts trigger outbound messages to ADP, Ceridian, Benefitfocus, Symplr, and Epic.</w:t>
        <w:br/>
        <w:t>9. **Document** – Capture all alert definitions in the *HCM Alerts Configuration Register* (see table_data).</w:t>
      </w:r>
    </w:p>
    <w:p>
      <w:pPr>
        <w:pStyle w:val="Heading2"/>
      </w:pPr>
      <w:r>
        <w:t>3.16 Reports and Analytics</w:t>
      </w:r>
    </w:p>
    <w:p>
      <w:r>
        <w:t>This section defines the reporting and analytics architecture that will deliver real‑time, bilingual, compliance‑driven insights for Meridian Health Systems. It covers OTBI subject‑area configuration, BI Publisher catalog design, security model, data extraction strategy, and the integration points required to surface credentialing and payroll data in dashboards used by HR, finance, and clinical operations.</w:t>
      </w:r>
    </w:p>
    <w:p>
      <w:r>
        <w:rPr>
          <w:b/>
        </w:rPr>
        <w:t xml:space="preserve">Oracle Recommendation: </w:t>
      </w:r>
      <w:r>
        <w:t>Oracle recommends leveraging OTBI for ad‑hoc and operational reporting, BI Publisher for formatted, regulatory‑compliant outputs, and the Fusion Data Warehouse (FDW) for historical analytics. All reports should be secured via BI Security Profiles and delivered in English, Spanish, and French‑Canadian locales. Event‑driven OIC integrations should feed credentialing status and payroll transactions into the FDW to enable near‑real‑time dashboards.</w:t>
      </w:r>
    </w:p>
    <w:p>
      <w:r>
        <w:rPr>
          <w:b/>
        </w:rPr>
        <w:t xml:space="preserve">Meridian Health Systems, Inc. Decision: </w:t>
      </w:r>
      <w:r>
        <w:t>Implement a hybrid analytics solution: use OTBI for day‑to‑day HR and compensation queries, BI Publisher for statutory reports (e.g., union‑reporting, credentialing compliance), and FDW for trend analysis across the three legal entities. Enable bilingual and French‑Canadian language packs, and configure role‑based security so that HR Business Partners, Union Representatives, and Clinical Managers see only the data permitted by their security profiles.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OTBI Subject Area – Core HR Employee</w:t>
            </w:r>
          </w:p>
        </w:tc>
        <w:tc>
          <w:tcPr>
            <w:tcW w:type="dxa" w:w="3033"/>
          </w:tcPr>
          <w:p>
            <w:r>
              <w:t>Provides real‑time access to employee master data across USA, Canada, Mexico; required for global employee ID reporting.</w:t>
            </w:r>
          </w:p>
        </w:tc>
      </w:tr>
      <w:tr>
        <w:tc>
          <w:tcPr>
            <w:tcW w:type="dxa" w:w="3033"/>
          </w:tcPr>
          <w:p>
            <w:r>
              <w:t>Configuration Item</w:t>
            </w:r>
          </w:p>
        </w:tc>
        <w:tc>
          <w:tcPr>
            <w:tcW w:type="dxa" w:w="3033"/>
          </w:tcPr>
          <w:p>
            <w:r>
              <w:t>OTBI Subject Area – Compensation &amp; Benefits</w:t>
            </w:r>
          </w:p>
        </w:tc>
        <w:tc>
          <w:tcPr>
            <w:tcW w:type="dxa" w:w="3033"/>
          </w:tcPr>
          <w:p>
            <w:r>
              <w:t>Enables ad‑hoc analysis of salary structures, union scales, and benefit elections per legal entity.</w:t>
            </w:r>
          </w:p>
        </w:tc>
      </w:tr>
      <w:tr>
        <w:tc>
          <w:tcPr>
            <w:tcW w:type="dxa" w:w="3033"/>
          </w:tcPr>
          <w:p>
            <w:r>
              <w:t>Configuration Item</w:t>
            </w:r>
          </w:p>
        </w:tc>
        <w:tc>
          <w:tcPr>
            <w:tcW w:type="dxa" w:w="3033"/>
          </w:tcPr>
          <w:p>
            <w:r>
              <w:t>OTBI Subject Area – Credentialing Status (Custom View)</w:t>
            </w:r>
          </w:p>
        </w:tc>
        <w:tc>
          <w:tcPr>
            <w:tcW w:type="dxa" w:w="3033"/>
          </w:tcPr>
          <w:p>
            <w:r>
              <w:t>Joins Fusion employee table with Symplr OIC view; flags active/inactive clinical providers for scheduling dashboards.</w:t>
            </w:r>
          </w:p>
        </w:tc>
      </w:tr>
      <w:tr>
        <w:tc>
          <w:tcPr>
            <w:tcW w:type="dxa" w:w="3033"/>
          </w:tcPr>
          <w:p>
            <w:r>
              <w:t>Configuration Item</w:t>
            </w:r>
          </w:p>
        </w:tc>
        <w:tc>
          <w:tcPr>
            <w:tcW w:type="dxa" w:w="3033"/>
          </w:tcPr>
          <w:p>
            <w:r>
              <w:t>BI Publisher Report – Credentialing Compliance Summary</w:t>
            </w:r>
          </w:p>
        </w:tc>
        <w:tc>
          <w:tcPr>
            <w:tcW w:type="dxa" w:w="3033"/>
          </w:tcPr>
          <w:p>
            <w:r>
              <w:t>PDF/Excel output, scheduled nightly, bilingual (EN/ES) and French‑Canadian; distributed to Clinical Operations leadership.</w:t>
            </w:r>
          </w:p>
        </w:tc>
      </w:tr>
      <w:tr>
        <w:tc>
          <w:tcPr>
            <w:tcW w:type="dxa" w:w="3033"/>
          </w:tcPr>
          <w:p>
            <w:r>
              <w:t>Configuration Item</w:t>
            </w:r>
          </w:p>
        </w:tc>
        <w:tc>
          <w:tcPr>
            <w:tcW w:type="dxa" w:w="3033"/>
          </w:tcPr>
          <w:p>
            <w:r>
              <w:t>BI Publisher Report – Union Payroll Reconciliation</w:t>
            </w:r>
          </w:p>
        </w:tc>
        <w:tc>
          <w:tcPr>
            <w:tcW w:type="dxa" w:w="3033"/>
          </w:tcPr>
          <w:p>
            <w:r>
              <w:t>Regulatory report required by US and Canadian labor laws; includes language‑specific footnotes.</w:t>
            </w:r>
          </w:p>
        </w:tc>
      </w:tr>
      <w:tr>
        <w:tc>
          <w:tcPr>
            <w:tcW w:type="dxa" w:w="3033"/>
          </w:tcPr>
          <w:p>
            <w:r>
              <w:t>Configuration Item</w:t>
            </w:r>
          </w:p>
        </w:tc>
        <w:tc>
          <w:tcPr>
            <w:tcW w:type="dxa" w:w="3033"/>
          </w:tcPr>
          <w:p>
            <w:r>
              <w:t>BI Security Profile – HR Business Partner</w:t>
            </w:r>
          </w:p>
        </w:tc>
        <w:tc>
          <w:tcPr>
            <w:tcW w:type="dxa" w:w="3033"/>
          </w:tcPr>
          <w:p>
            <w:r>
              <w:t>Read‑only access to all OTBI subject areas for assigned Business Units; no access to union‑only data.</w:t>
            </w:r>
          </w:p>
        </w:tc>
      </w:tr>
      <w:tr>
        <w:tc>
          <w:tcPr>
            <w:tcW w:type="dxa" w:w="3033"/>
          </w:tcPr>
          <w:p>
            <w:r>
              <w:t>Configuration Item</w:t>
            </w:r>
          </w:p>
        </w:tc>
        <w:tc>
          <w:tcPr>
            <w:tcW w:type="dxa" w:w="3033"/>
          </w:tcPr>
          <w:p>
            <w:r>
              <w:t>BI Security Profile – Union Representative</w:t>
            </w:r>
          </w:p>
        </w:tc>
        <w:tc>
          <w:tcPr>
            <w:tcW w:type="dxa" w:w="3033"/>
          </w:tcPr>
          <w:p>
            <w:r>
              <w:t>Restricted to union‑specific compensation and benefits data; cannot view clinical credentialing.</w:t>
            </w:r>
          </w:p>
        </w:tc>
      </w:tr>
      <w:tr>
        <w:tc>
          <w:tcPr>
            <w:tcW w:type="dxa" w:w="3033"/>
          </w:tcPr>
          <w:p>
            <w:r>
              <w:t>Configuration Item</w:t>
            </w:r>
          </w:p>
        </w:tc>
        <w:tc>
          <w:tcPr>
            <w:tcW w:type="dxa" w:w="3033"/>
          </w:tcPr>
          <w:p>
            <w:r>
              <w:t>BI Security Profile – Clinical Scheduler</w:t>
            </w:r>
          </w:p>
        </w:tc>
        <w:tc>
          <w:tcPr>
            <w:tcW w:type="dxa" w:w="3033"/>
          </w:tcPr>
          <w:p>
            <w:r>
              <w:t>Read‑only access to Credentialing Status view and employee availability; no compensation data.</w:t>
            </w:r>
          </w:p>
        </w:tc>
      </w:tr>
      <w:tr>
        <w:tc>
          <w:tcPr>
            <w:tcW w:type="dxa" w:w="3033"/>
          </w:tcPr>
          <w:p>
            <w:r>
              <w:t>Configuration Item</w:t>
            </w:r>
          </w:p>
        </w:tc>
        <w:tc>
          <w:tcPr>
            <w:tcW w:type="dxa" w:w="3033"/>
          </w:tcPr>
          <w:p>
            <w:r>
              <w:t>FDW Schema – MERIDIAN_HCM_ANALYTICS</w:t>
            </w:r>
          </w:p>
        </w:tc>
        <w:tc>
          <w:tcPr>
            <w:tcW w:type="dxa" w:w="3033"/>
          </w:tcPr>
          <w:p>
            <w:r>
              <w:t>Stores historical snapshots of employee master, compensation, and credentialing; refreshed every 4 hours via OIC CDC.</w:t>
            </w:r>
          </w:p>
        </w:tc>
      </w:tr>
      <w:tr>
        <w:tc>
          <w:tcPr>
            <w:tcW w:type="dxa" w:w="3033"/>
          </w:tcPr>
          <w:p>
            <w:r>
              <w:t>Configuration Item</w:t>
            </w:r>
          </w:p>
        </w:tc>
        <w:tc>
          <w:tcPr>
            <w:tcW w:type="dxa" w:w="3033"/>
          </w:tcPr>
          <w:p>
            <w:r>
              <w:t>Language Pack – Spanish (es) &amp; French‑Canadian (fr_CA)</w:t>
            </w:r>
          </w:p>
        </w:tc>
        <w:tc>
          <w:tcPr>
            <w:tcW w:type="dxa" w:w="3033"/>
          </w:tcPr>
          <w:p>
            <w:r>
              <w:t>Installed via HCM Experience Design Studio; UI labels, help topics, and report footers translated.</w:t>
            </w:r>
          </w:p>
        </w:tc>
      </w:tr>
      <w:tr>
        <w:tc>
          <w:tcPr>
            <w:tcW w:type="dxa" w:w="3033"/>
          </w:tcPr>
          <w:p>
            <w:r>
              <w:t>Configuration Item</w:t>
            </w:r>
          </w:p>
        </w:tc>
        <w:tc>
          <w:tcPr>
            <w:tcW w:type="dxa" w:w="3033"/>
          </w:tcPr>
          <w:p>
            <w:r>
              <w:t>OIC Integration – Hire/Transfer/Termination Event Stream</w:t>
            </w:r>
          </w:p>
        </w:tc>
        <w:tc>
          <w:tcPr>
            <w:tcW w:type="dxa" w:w="3033"/>
          </w:tcPr>
          <w:p>
            <w:r>
              <w:t>Publishes change events to FDW and triggers OTBI cache refresh; ensures analytics reflect the latest master data.</w:t>
            </w:r>
          </w:p>
        </w:tc>
      </w:tr>
    </w:tbl>
    <w:p>
      <w:r>
        <w:rPr>
          <w:b/>
        </w:rPr>
        <w:t xml:space="preserve">Configuration Notes: </w:t>
      </w:r>
      <w:r>
        <w:t>1. **Setup Task – Manage Business Intelligence**: Activate OTOTBI, define subject areas, and publish the BI Catalog.</w:t>
        <w:br/>
        <w:t>2. **Setup Task – Define OTBI Subject Areas**: Create custom subject areas for Core HR, Compensation, and Credentialing (join Fusion Core HR tables with the Symplr integration view).</w:t>
        <w:br/>
        <w:t>3. **Setup Task – Create BI Publisher Report**: Build X‑SLT templates for credentialing compliance, union‑benefit statements, and multi‑country payroll summaries.</w:t>
        <w:br/>
        <w:t>4. **Setup Task – Configure BI Security Profiles**: Map HR Business Partner, Union Rep, and Clinical Scheduler roles to appropriate data security policies.</w:t>
        <w:br/>
        <w:t>5. **Setup Task – Manage Data Warehouse Cloud**: Provision FDW schema, schedule OIC‑driven extracts for hire/transfer/termination events, and enable incremental loads for Symplr status.</w:t>
        <w:br/>
        <w:t>6. **Setup Task – Set Up Language Packs**: Install Spanish (es) and French‑Canadian (fr_CA) language packs, and associate help content via HCM Experience Design Studio.</w:t>
        <w:br/>
        <w:t>7. **Setup Task – Define Report Distribution**: Use BI Publisher Scheduling to email regulatory reports in PDF/Excel to compliance officers in the required language.</w:t>
        <w:br/>
        <w:t>8. **Setup Task – Enable Event‑Driven Integration**: Configure OIC integrations (Hire, Transfer, Termination) to push change data capture (CDC) into FDW and trigger OTBI refreshes.</w:t>
        <w:br/>
        <w:t>All steps must be performed in the Production environment after successful validation in Test and Staging.</w:t>
      </w:r>
    </w:p>
    <w:p>
      <w:pPr>
        <w:pStyle w:val="Heading2"/>
      </w:pPr>
      <w:r>
        <w:t>3.17 Person Types</w:t>
      </w:r>
    </w:p>
    <w:p>
      <w:r>
        <w:t>This section defines the Person Types that will be used to classify all individuals in the Meridian Health Systems, Inc. workforce. Proper Person Type configuration is critical for applying the correct HR processes, security, benefits eligibility, union rules, credentialing requirements, and integration behavior across the multi‑country, multi‑system landscape.</w:t>
      </w:r>
    </w:p>
    <w:p>
      <w:r>
        <w:rPr>
          <w:b/>
        </w:rPr>
        <w:t xml:space="preserve">Oracle Recommendation: </w:t>
      </w:r>
      <w:r>
        <w:t>Oracle best practice for a complex, multi‑country healthcare organization is to leverage the standard Person Types (Employee, Contingent Worker, Intern) and extend them with industry‑specific types (Medical Provider, Union Member) while enabling language‑specific display values. Each Person Type should be associated with the appropriate Person Type Group, Eligibility Rules, and Integration Flags to support OIC event‑driven processing and credentialing integration.</w:t>
      </w:r>
    </w:p>
    <w:p>
      <w:r>
        <w:rPr>
          <w:b/>
        </w:rPr>
        <w:t xml:space="preserve">Meridian Health Systems, Inc. Decision: </w:t>
      </w:r>
      <w:r>
        <w:t xml:space="preserve">Create five Person Types for Meridian Health Systems: </w:t>
        <w:br/>
        <w:t xml:space="preserve">1. **Employee** – core staff (clinical and non‑clinical) across all legal entities. </w:t>
        <w:br/>
        <w:t xml:space="preserve">2. **Contingent Worker** – temporary staff, agency hires, and contract clinicians. </w:t>
        <w:br/>
        <w:t xml:space="preserve">3. **Intern** – graduate medical education participants. </w:t>
        <w:br/>
        <w:t xml:space="preserve">4. **Medical Provider** – credentialed physicians, advanced practice providers, and allied health professionals; flagged for real‑time Symplr status checks. </w:t>
        <w:br/>
        <w:t>5. **Union Member** – employees covered by collective bargaining agreements; linked to union eligibility rules.</w:t>
        <w:br/>
        <w:t>All Person Types will have bilingual (EN/ES) and French‑Canadian (FR‑CA) display names and will be mapped to the appropriate Person Type Groups for payroll (ADP US, Ceridian Canada) and benefits (Benefitfocus) integrations.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Person Type</w:t>
            </w:r>
          </w:p>
        </w:tc>
        <w:tc>
          <w:tcPr>
            <w:tcW w:type="dxa" w:w="3033"/>
          </w:tcPr>
          <w:p>
            <w:r>
              <w:t>Defines the classification of the individual (e.g., Employee, Contingent Worker, Intern, Medical Provider, Union Member).</w:t>
            </w:r>
          </w:p>
        </w:tc>
      </w:tr>
      <w:tr>
        <w:tc>
          <w:tcPr>
            <w:tcW w:type="dxa" w:w="3033"/>
          </w:tcPr>
          <w:p>
            <w:r>
              <w:t>Recommended Value</w:t>
            </w:r>
          </w:p>
        </w:tc>
        <w:tc>
          <w:tcPr>
            <w:tcW w:type="dxa" w:w="3033"/>
          </w:tcPr>
          <w:p>
            <w:r>
              <w:t>Employee</w:t>
            </w:r>
          </w:p>
        </w:tc>
        <w:tc>
          <w:tcPr>
            <w:tcW w:type="dxa" w:w="3033"/>
          </w:tcPr>
          <w:p>
            <w:r>
              <w:t>Core staff across all legal entities; default for most hires.</w:t>
            </w:r>
          </w:p>
        </w:tc>
      </w:tr>
      <w:tr>
        <w:tc>
          <w:tcPr>
            <w:tcW w:type="dxa" w:w="3033"/>
          </w:tcPr>
          <w:p>
            <w:r>
              <w:t>Recommended Value</w:t>
            </w:r>
          </w:p>
        </w:tc>
        <w:tc>
          <w:tcPr>
            <w:tcW w:type="dxa" w:w="3033"/>
          </w:tcPr>
          <w:p>
            <w:r>
              <w:t>Contingent Worker</w:t>
            </w:r>
          </w:p>
        </w:tc>
        <w:tc>
          <w:tcPr>
            <w:tcW w:type="dxa" w:w="3033"/>
          </w:tcPr>
          <w:p>
            <w:r>
              <w:t>Temporary/agency clinicians; requires separate payroll routing to ADP/Ceridian.</w:t>
            </w:r>
          </w:p>
        </w:tc>
      </w:tr>
      <w:tr>
        <w:tc>
          <w:tcPr>
            <w:tcW w:type="dxa" w:w="3033"/>
          </w:tcPr>
          <w:p>
            <w:r>
              <w:t>Recommended Value</w:t>
            </w:r>
          </w:p>
        </w:tc>
        <w:tc>
          <w:tcPr>
            <w:tcW w:type="dxa" w:w="3033"/>
          </w:tcPr>
          <w:p>
            <w:r>
              <w:t>Intern</w:t>
            </w:r>
          </w:p>
        </w:tc>
        <w:tc>
          <w:tcPr>
            <w:tcW w:type="dxa" w:w="3033"/>
          </w:tcPr>
          <w:p>
            <w:r>
              <w:t>Graduate medical education participants; limited benefits eligibility.</w:t>
            </w:r>
          </w:p>
        </w:tc>
      </w:tr>
      <w:tr>
        <w:tc>
          <w:tcPr>
            <w:tcW w:type="dxa" w:w="3033"/>
          </w:tcPr>
          <w:p>
            <w:r>
              <w:t>Recommended Value</w:t>
            </w:r>
          </w:p>
        </w:tc>
        <w:tc>
          <w:tcPr>
            <w:tcW w:type="dxa" w:w="3033"/>
          </w:tcPr>
          <w:p>
            <w:r>
              <w:t>Medical Provider</w:t>
            </w:r>
          </w:p>
        </w:tc>
        <w:tc>
          <w:tcPr>
            <w:tcW w:type="dxa" w:w="3033"/>
          </w:tcPr>
          <w:p>
            <w:r>
              <w:t>Credentialed providers; flagged for real‑time Symplr status and scheduling gating.</w:t>
            </w:r>
          </w:p>
        </w:tc>
      </w:tr>
      <w:tr>
        <w:tc>
          <w:tcPr>
            <w:tcW w:type="dxa" w:w="3033"/>
          </w:tcPr>
          <w:p>
            <w:r>
              <w:t>Recommended Value</w:t>
            </w:r>
          </w:p>
        </w:tc>
        <w:tc>
          <w:tcPr>
            <w:tcW w:type="dxa" w:w="3033"/>
          </w:tcPr>
          <w:p>
            <w:r>
              <w:t>Union Member</w:t>
            </w:r>
          </w:p>
        </w:tc>
        <w:tc>
          <w:tcPr>
            <w:tcW w:type="dxa" w:w="3033"/>
          </w:tcPr>
          <w:p>
            <w:r>
              <w:t>Employees covered by collective bargaining; linked to union eligibility rules and seniority calculations.</w:t>
            </w:r>
          </w:p>
        </w:tc>
      </w:tr>
      <w:tr>
        <w:tc>
          <w:tcPr>
            <w:tcW w:type="dxa" w:w="3033"/>
          </w:tcPr>
          <w:p>
            <w:r>
              <w:t>Configuration Item</w:t>
            </w:r>
          </w:p>
        </w:tc>
        <w:tc>
          <w:tcPr>
            <w:tcW w:type="dxa" w:w="3033"/>
          </w:tcPr>
          <w:p>
            <w:r>
              <w:t>Person Type Group</w:t>
            </w:r>
          </w:p>
        </w:tc>
        <w:tc>
          <w:tcPr>
            <w:tcW w:type="dxa" w:w="3033"/>
          </w:tcPr>
          <w:p>
            <w:r>
              <w:t>Groups Person Types for default security and workflow inheritance.</w:t>
            </w:r>
          </w:p>
        </w:tc>
      </w:tr>
      <w:tr>
        <w:tc>
          <w:tcPr>
            <w:tcW w:type="dxa" w:w="3033"/>
          </w:tcPr>
          <w:p>
            <w:r>
              <w:t>Recommended Value</w:t>
            </w:r>
          </w:p>
        </w:tc>
        <w:tc>
          <w:tcPr>
            <w:tcW w:type="dxa" w:w="3033"/>
          </w:tcPr>
          <w:p>
            <w:r>
              <w:t>Employee Group</w:t>
            </w:r>
          </w:p>
        </w:tc>
        <w:tc>
          <w:tcPr>
            <w:tcW w:type="dxa" w:w="3033"/>
          </w:tcPr>
          <w:p>
            <w:r>
              <w:t>Includes Employee and Union Member; inherits standard employee security.</w:t>
            </w:r>
          </w:p>
        </w:tc>
      </w:tr>
      <w:tr>
        <w:tc>
          <w:tcPr>
            <w:tcW w:type="dxa" w:w="3033"/>
          </w:tcPr>
          <w:p>
            <w:r>
              <w:t>Recommended Value</w:t>
            </w:r>
          </w:p>
        </w:tc>
        <w:tc>
          <w:tcPr>
            <w:tcW w:type="dxa" w:w="3033"/>
          </w:tcPr>
          <w:p>
            <w:r>
              <w:t>Contingent Worker Group</w:t>
            </w:r>
          </w:p>
        </w:tc>
        <w:tc>
          <w:tcPr>
            <w:tcW w:type="dxa" w:w="3033"/>
          </w:tcPr>
          <w:p>
            <w:r>
              <w:t>Includes Contingent Worker and Intern; limited access to core HR functions.</w:t>
            </w:r>
          </w:p>
        </w:tc>
      </w:tr>
      <w:tr>
        <w:tc>
          <w:tcPr>
            <w:tcW w:type="dxa" w:w="3033"/>
          </w:tcPr>
          <w:p>
            <w:r>
              <w:t>Configuration Item</w:t>
            </w:r>
          </w:p>
        </w:tc>
        <w:tc>
          <w:tcPr>
            <w:tcW w:type="dxa" w:w="3033"/>
          </w:tcPr>
          <w:p>
            <w:r>
              <w:t>Eligibility Rules</w:t>
            </w:r>
          </w:p>
        </w:tc>
        <w:tc>
          <w:tcPr>
            <w:tcW w:type="dxa" w:w="3033"/>
          </w:tcPr>
          <w:p>
            <w:r>
              <w:t>Controls benefits, union, and credentialing eligibility per Person Type.</w:t>
            </w:r>
          </w:p>
        </w:tc>
      </w:tr>
      <w:tr>
        <w:tc>
          <w:tcPr>
            <w:tcW w:type="dxa" w:w="3033"/>
          </w:tcPr>
          <w:p>
            <w:r>
              <w:t>Recommended Value</w:t>
            </w:r>
          </w:p>
        </w:tc>
        <w:tc>
          <w:tcPr>
            <w:tcW w:type="dxa" w:w="3033"/>
          </w:tcPr>
          <w:p>
            <w:r>
              <w:t>Medical Provider – Credentialing Required = Yes</w:t>
            </w:r>
          </w:p>
        </w:tc>
        <w:tc>
          <w:tcPr>
            <w:tcW w:type="dxa" w:w="3033"/>
          </w:tcPr>
          <w:p>
            <w:r>
              <w:t>Triggers real‑time Symplr integration; blocks scheduling until credentialed.</w:t>
            </w:r>
          </w:p>
        </w:tc>
      </w:tr>
      <w:tr>
        <w:tc>
          <w:tcPr>
            <w:tcW w:type="dxa" w:w="3033"/>
          </w:tcPr>
          <w:p>
            <w:r>
              <w:t>Configuration Item</w:t>
            </w:r>
          </w:p>
        </w:tc>
        <w:tc>
          <w:tcPr>
            <w:tcW w:type="dxa" w:w="3033"/>
          </w:tcPr>
          <w:p>
            <w:r>
              <w:t>Language Translations</w:t>
            </w:r>
          </w:p>
        </w:tc>
        <w:tc>
          <w:tcPr>
            <w:tcW w:type="dxa" w:w="3033"/>
          </w:tcPr>
          <w:p>
            <w:r>
              <w:t>Display names for Person Types in EN, ES, FR‑CA.</w:t>
            </w:r>
          </w:p>
        </w:tc>
      </w:tr>
      <w:tr>
        <w:tc>
          <w:tcPr>
            <w:tcW w:type="dxa" w:w="3033"/>
          </w:tcPr>
          <w:p>
            <w:r>
              <w:t>Recommended Value</w:t>
            </w:r>
          </w:p>
        </w:tc>
        <w:tc>
          <w:tcPr>
            <w:tcW w:type="dxa" w:w="3033"/>
          </w:tcPr>
          <w:p>
            <w:r>
              <w:t>EN: Employee, ES: Empleado, FR‑CA: Employé</w:t>
            </w:r>
          </w:p>
        </w:tc>
        <w:tc>
          <w:tcPr>
            <w:tcW w:type="dxa" w:w="3033"/>
          </w:tcPr>
          <w:p>
            <w:r>
              <w:t>Ensures bilingual UI compliance for 2,590 non‑English speakers.</w:t>
            </w:r>
          </w:p>
        </w:tc>
      </w:tr>
      <w:tr>
        <w:tc>
          <w:tcPr>
            <w:tcW w:type="dxa" w:w="3033"/>
          </w:tcPr>
          <w:p>
            <w:r>
              <w:t>Configuration Item</w:t>
            </w:r>
          </w:p>
        </w:tc>
        <w:tc>
          <w:tcPr>
            <w:tcW w:type="dxa" w:w="3033"/>
          </w:tcPr>
          <w:p>
            <w:r>
              <w:t>Integration Flag – Send to OIC</w:t>
            </w:r>
          </w:p>
        </w:tc>
        <w:tc>
          <w:tcPr>
            <w:tcW w:type="dxa" w:w="3033"/>
          </w:tcPr>
          <w:p>
            <w:r>
              <w:t>Enables event‑driven hire/transfer/termination messages for payroll, IT provisioning, and Epic.</w:t>
            </w:r>
          </w:p>
        </w:tc>
      </w:tr>
      <w:tr>
        <w:tc>
          <w:tcPr>
            <w:tcW w:type="dxa" w:w="3033"/>
          </w:tcPr>
          <w:p>
            <w:r>
              <w:t>Recommended Value</w:t>
            </w:r>
          </w:p>
        </w:tc>
        <w:tc>
          <w:tcPr>
            <w:tcW w:type="dxa" w:w="3033"/>
          </w:tcPr>
          <w:p>
            <w:r>
              <w:t>Yes (All Person Types)</w:t>
            </w:r>
          </w:p>
        </w:tc>
        <w:tc>
          <w:tcPr>
            <w:tcW w:type="dxa" w:w="3033"/>
          </w:tcPr>
          <w:p>
            <w:r>
              <w:t>Required for real‑time downstream system updates.</w:t>
            </w:r>
          </w:p>
        </w:tc>
      </w:tr>
      <w:tr>
        <w:tc>
          <w:tcPr>
            <w:tcW w:type="dxa" w:w="3033"/>
          </w:tcPr>
          <w:p>
            <w:r>
              <w:t>Configuration Item</w:t>
            </w:r>
          </w:p>
        </w:tc>
        <w:tc>
          <w:tcPr>
            <w:tcW w:type="dxa" w:w="3033"/>
          </w:tcPr>
          <w:p>
            <w:r>
              <w:t>Security Profile Assignment</w:t>
            </w:r>
          </w:p>
        </w:tc>
        <w:tc>
          <w:tcPr>
            <w:tcW w:type="dxa" w:w="3033"/>
          </w:tcPr>
          <w:p>
            <w:r>
              <w:t>Maps Person Types to security profiles for data access and UI visibility.</w:t>
            </w:r>
          </w:p>
        </w:tc>
      </w:tr>
      <w:tr>
        <w:tc>
          <w:tcPr>
            <w:tcW w:type="dxa" w:w="3033"/>
          </w:tcPr>
          <w:p>
            <w:r>
              <w:t>Recommended Value</w:t>
            </w:r>
          </w:p>
        </w:tc>
        <w:tc>
          <w:tcPr>
            <w:tcW w:type="dxa" w:w="3033"/>
          </w:tcPr>
          <w:p>
            <w:r>
              <w:t>Union Member → Union Security Profile</w:t>
            </w:r>
          </w:p>
        </w:tc>
        <w:tc>
          <w:tcPr>
            <w:tcW w:type="dxa" w:w="3033"/>
          </w:tcPr>
          <w:p>
            <w:r>
              <w:t>Restricts access to union‑specific data and workflows.</w:t>
            </w:r>
          </w:p>
        </w:tc>
      </w:tr>
    </w:tbl>
    <w:p>
      <w:r>
        <w:rPr>
          <w:b/>
        </w:rPr>
        <w:t xml:space="preserve">Configuration Notes: </w:t>
      </w:r>
      <w:r>
        <w:t>1. **Setup and Maintenance** → **Task: Manage Person Types** – Create new Person Types and edit existing ones.</w:t>
        <w:br/>
        <w:t>2. **Define Person Type Groups** – Assign each Person Type to a Person Type Group (e.g., Employee Group, Contingent Worker Group) to drive default security and workflow behavior.</w:t>
        <w:br/>
        <w:t>3. **Eligibility Rules** – Use **Setup and Maintenance &gt; Task: Define Eligibility Rules for Person Types** to configure benefits, union, and credentialing eligibility per Person Type.</w:t>
        <w:br/>
        <w:t>4. **Language Translations** – In **Setup and Maintenance &gt; Task: Manage Translations for Person Types**, add EN, ES, and FR‑CA translations for the Person Type names and descriptions.</w:t>
        <w:br/>
        <w:t>5. **Integration Flags** – Via **Setup and Maintenance &gt; Task: Define Person Type Integration Settings**, enable the **“Send to OIC”** flag for all Person Types and set **“Credentialing Required”** = Yes for Medical Provider.</w:t>
        <w:br/>
        <w:t>6. **Security Profiles** – Map Person Types to security profiles in **Setup and Maintenance &gt; Task: Assign Security Profiles to Person Types** to enforce union and credentialing access controls.</w:t>
        <w:br/>
        <w:t>7. **Testing** – Validate Person Type assignment during hire, transfer, and termination events using the **HR Data Loader (HDL)** and OIC test flows.</w:t>
        <w:br/>
        <w:t>8. **Documentation** – Update the HR Business Process Documentation to reference the new Person Types and associated approval workflows.</w:t>
      </w:r>
    </w:p>
    <w:p>
      <w:pPr>
        <w:pStyle w:val="Heading2"/>
      </w:pPr>
      <w:r>
        <w:t>3.18 Assignment Statuses</w:t>
      </w:r>
    </w:p>
    <w:p>
      <w:r>
        <w:t>This section defines the assignment status framework that governs the lifecycle of every worker record in Fusion HCM. Accurate status values enable real‑time credentialing checks, payroll trigger events, and compliance reporting across the United States, Canada, and Mexico. For Meridian Health Systems, a robust set of statuses is essential to support clinical scheduling gates, union‑specific rules, and bilingual UI presentation.</w:t>
      </w:r>
    </w:p>
    <w:p>
      <w:r>
        <w:rPr>
          <w:b/>
        </w:rPr>
        <w:t xml:space="preserve">Oracle Recommendation: </w:t>
      </w:r>
      <w:r>
        <w:t>Oracle recommends using the standard set of assignment statuses (Active, Inactive, Terminated, On Leave) and extending them with custom statuses for healthcare‑specific processes (e.g., Credentialing Pending, Credentialing Expired). Each status should be created via **Setup and Maintenance → Manage Assignment Statuses**, assigned a status category, and translated into English, Spanish, and French‑Canadian. The default status for new hires must be **Active** and the status change must fire the **Hire/Transfer/Termination** events used by OIC integrations.</w:t>
      </w:r>
    </w:p>
    <w:p>
      <w:r>
        <w:rPr>
          <w:b/>
        </w:rPr>
        <w:t xml:space="preserve">Meridian Health Systems, Inc. Decision: </w:t>
      </w:r>
      <w:r>
        <w:t>Implement a hybrid status list that combines the out‑of‑the‑box statuses with three custom statuses to satisfy Meridian’s clinical credentialing and union requirements. All statuses will be multilingual, visible to employees in self‑service, and mapped to OIC event triggers for payroll, IT provisioning, and Epic scheduling. The custom statuses will be used exclusively for clinical staff; unionized non‑clinical staff will continue to use the standard statuses.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Recommended Value</w:t>
            </w:r>
          </w:p>
        </w:tc>
        <w:tc>
          <w:tcPr>
            <w:tcW w:type="dxa" w:w="3033"/>
          </w:tcPr>
          <w:p>
            <w:r>
              <w:rPr>
                <w:b/>
              </w:rPr>
              <w:t>Notes</w:t>
            </w:r>
          </w:p>
        </w:tc>
      </w:tr>
      <w:tr>
        <w:tc>
          <w:tcPr>
            <w:tcW w:type="dxa" w:w="3033"/>
          </w:tcPr>
          <w:p>
            <w:r>
              <w:t>Standard Status – Active</w:t>
            </w:r>
          </w:p>
        </w:tc>
        <w:tc>
          <w:tcPr>
            <w:tcW w:type="dxa" w:w="3033"/>
          </w:tcPr>
          <w:p>
            <w:r>
              <w:t>Active (Default)</w:t>
            </w:r>
          </w:p>
        </w:tc>
        <w:tc>
          <w:tcPr>
            <w:tcW w:type="dxa" w:w="3033"/>
          </w:tcPr>
          <w:p>
            <w:r>
              <w:t>Used for all newly hired employees; triggers Hire event to payroll and IT provisioning.</w:t>
            </w:r>
          </w:p>
        </w:tc>
      </w:tr>
      <w:tr>
        <w:tc>
          <w:tcPr>
            <w:tcW w:type="dxa" w:w="3033"/>
          </w:tcPr>
          <w:p>
            <w:r>
              <w:t>Standard Status – Inactive</w:t>
            </w:r>
          </w:p>
        </w:tc>
        <w:tc>
          <w:tcPr>
            <w:tcW w:type="dxa" w:w="3033"/>
          </w:tcPr>
          <w:p>
            <w:r>
              <w:t>Inactive</w:t>
            </w:r>
          </w:p>
        </w:tc>
        <w:tc>
          <w:tcPr>
            <w:tcW w:type="dxa" w:w="3033"/>
          </w:tcPr>
          <w:p>
            <w:r>
              <w:t>Applied when an employee is on a non‑payroll break; does not generate payroll runs.</w:t>
            </w:r>
          </w:p>
        </w:tc>
      </w:tr>
      <w:tr>
        <w:tc>
          <w:tcPr>
            <w:tcW w:type="dxa" w:w="3033"/>
          </w:tcPr>
          <w:p>
            <w:r>
              <w:t>Standard Status – Terminated</w:t>
            </w:r>
          </w:p>
        </w:tc>
        <w:tc>
          <w:tcPr>
            <w:tcW w:type="dxa" w:w="3033"/>
          </w:tcPr>
          <w:p>
            <w:r>
              <w:t>Terminated</w:t>
            </w:r>
          </w:p>
        </w:tc>
        <w:tc>
          <w:tcPr>
            <w:tcW w:type="dxa" w:w="3033"/>
          </w:tcPr>
          <w:p>
            <w:r>
              <w:t>Ends all payroll, benefits, and credentialing links; fires Termination event to OIC.</w:t>
            </w:r>
          </w:p>
        </w:tc>
      </w:tr>
      <w:tr>
        <w:tc>
          <w:tcPr>
            <w:tcW w:type="dxa" w:w="3033"/>
          </w:tcPr>
          <w:p>
            <w:r>
              <w:t>Standard Status – On Leave</w:t>
            </w:r>
          </w:p>
        </w:tc>
        <w:tc>
          <w:tcPr>
            <w:tcW w:type="dxa" w:w="3033"/>
          </w:tcPr>
          <w:p>
            <w:r>
              <w:t>On Leave</w:t>
            </w:r>
          </w:p>
        </w:tc>
        <w:tc>
          <w:tcPr>
            <w:tcW w:type="dxa" w:w="3033"/>
          </w:tcPr>
          <w:p>
            <w:r>
              <w:t>Supports union‑mandated leave types; retains benefits eligibility.</w:t>
            </w:r>
          </w:p>
        </w:tc>
      </w:tr>
      <w:tr>
        <w:tc>
          <w:tcPr>
            <w:tcW w:type="dxa" w:w="3033"/>
          </w:tcPr>
          <w:p>
            <w:r>
              <w:t>Custom Status – Credentialing Pending</w:t>
            </w:r>
          </w:p>
        </w:tc>
        <w:tc>
          <w:tcPr>
            <w:tcW w:type="dxa" w:w="3033"/>
          </w:tcPr>
          <w:p>
            <w:r>
              <w:t>Credentialing Pending (Active Category)</w:t>
            </w:r>
          </w:p>
        </w:tc>
        <w:tc>
          <w:tcPr>
            <w:tcW w:type="dxa" w:w="3033"/>
          </w:tcPr>
          <w:p>
            <w:r>
              <w:t>Clinical staff awaiting Symplr verification; OIC call to Symplr on status change.</w:t>
            </w:r>
          </w:p>
        </w:tc>
      </w:tr>
      <w:tr>
        <w:tc>
          <w:tcPr>
            <w:tcW w:type="dxa" w:w="3033"/>
          </w:tcPr>
          <w:p>
            <w:r>
              <w:t>Custom Status – Credentialing Expired</w:t>
            </w:r>
          </w:p>
        </w:tc>
        <w:tc>
          <w:tcPr>
            <w:tcW w:type="dxa" w:w="3033"/>
          </w:tcPr>
          <w:p>
            <w:r>
              <w:t>Credentialing Expired (Inactive Category)</w:t>
            </w:r>
          </w:p>
        </w:tc>
        <w:tc>
          <w:tcPr>
            <w:tcW w:type="dxa" w:w="3033"/>
          </w:tcPr>
          <w:p>
            <w:r>
              <w:t>Automatically revokes scheduling access in Epic; generates alert to HR.</w:t>
            </w:r>
          </w:p>
        </w:tc>
      </w:tr>
      <w:tr>
        <w:tc>
          <w:tcPr>
            <w:tcW w:type="dxa" w:w="3033"/>
          </w:tcPr>
          <w:p>
            <w:r>
              <w:t>Custom Status – Union Leave</w:t>
            </w:r>
          </w:p>
        </w:tc>
        <w:tc>
          <w:tcPr>
            <w:tcW w:type="dxa" w:w="3033"/>
          </w:tcPr>
          <w:p>
            <w:r>
              <w:t>Union Leave (On Leave Category)</w:t>
            </w:r>
          </w:p>
        </w:tc>
        <w:tc>
          <w:tcPr>
            <w:tcW w:type="dxa" w:w="3033"/>
          </w:tcPr>
          <w:p>
            <w:r>
              <w:t>Tracks union‑specific leave; integrates with union payroll rules in ADP/Ceridian.</w:t>
            </w:r>
          </w:p>
        </w:tc>
      </w:tr>
      <w:tr>
        <w:tc>
          <w:tcPr>
            <w:tcW w:type="dxa" w:w="3033"/>
          </w:tcPr>
          <w:p>
            <w:r>
              <w:t>Status Translations – EN/ES/FR‑CA</w:t>
            </w:r>
          </w:p>
        </w:tc>
        <w:tc>
          <w:tcPr>
            <w:tcW w:type="dxa" w:w="3033"/>
          </w:tcPr>
          <w:p>
            <w:r>
              <w:t>Provide language values for each status</w:t>
            </w:r>
          </w:p>
        </w:tc>
        <w:tc>
          <w:tcPr>
            <w:tcW w:type="dxa" w:w="3033"/>
          </w:tcPr>
          <w:p>
            <w:r>
              <w:t>Ensures bilingual UI for 2,590 employees; configured via the Translations tab.</w:t>
            </w:r>
          </w:p>
        </w:tc>
      </w:tr>
      <w:tr>
        <w:tc>
          <w:tcPr>
            <w:tcW w:type="dxa" w:w="3033"/>
          </w:tcPr>
          <w:p>
            <w:r>
              <w:t>Status Reason Codes</w:t>
            </w:r>
          </w:p>
        </w:tc>
        <w:tc>
          <w:tcPr>
            <w:tcW w:type="dxa" w:w="3033"/>
          </w:tcPr>
          <w:p>
            <w:r>
              <w:t>Create reason codes such as *Credentialing Review*, *Union Negotiation*</w:t>
            </w:r>
          </w:p>
        </w:tc>
        <w:tc>
          <w:tcPr>
            <w:tcW w:type="dxa" w:w="3033"/>
          </w:tcPr>
          <w:p>
            <w:r>
              <w:t>Facilitates audit reporting and OIC filtering.</w:t>
            </w:r>
          </w:p>
        </w:tc>
      </w:tr>
    </w:tbl>
    <w:p>
      <w:r>
        <w:rPr>
          <w:b/>
        </w:rPr>
        <w:t xml:space="preserve">Configuration Notes: </w:t>
      </w:r>
      <w:r>
        <w:t xml:space="preserve">1. **Navigate**: Setup and Maintenance → **Manage Assignment Statuses** (Task: *Manage Assignment Statuses*).  </w:t>
        <w:br/>
        <w:t xml:space="preserve">2. **Create** the following custom statuses using the **Create** button: *Credentialing Pending*, *Credentialing Expired*, *Union Leave*.  </w:t>
        <w:br/>
        <w:t xml:space="preserve">3. **Define** for each status:  </w:t>
        <w:br/>
        <w:t xml:space="preserve">   - **Status Category** – select *Active* for Credentialing Pending, *Inactive* for Credentialing Expired, *On Leave* for Union Leave.  </w:t>
        <w:br/>
        <w:t xml:space="preserve">   - **Is Default** – set only **Active** as default for new hires.  </w:t>
        <w:br/>
        <w:t xml:space="preserve">   - **Is Visible to Employees** – Yes for all statuses to support bilingual self‑service.  </w:t>
        <w:br/>
        <w:t xml:space="preserve">   - **Effective Dates** – leave open‑ended; OIC will close dates on status change.  </w:t>
        <w:br/>
        <w:t xml:space="preserve">4. **Translate**: Click **Translations** tab; add values for EN, ES, FR‑CA (e.g., “Credentialing Pending”, “Pendiente de Credencial”, “En attente de certification”).  </w:t>
        <w:br/>
        <w:t xml:space="preserve">5. **Assign** status reason codes via **Setup and Maintenance → Manage Assignment Status Reasons** to capture why a status changed (e.g., *Credentialing Review*, *Union Negotiation*).  </w:t>
        <w:br/>
        <w:t xml:space="preserve">6. **Map** status changes to OIC events:  </w:t>
        <w:br/>
        <w:t xml:space="preserve">   - In **Integration Cloud Service**, configure **Event‑Driven Integration** for *Assignment Status Change*; filter on custom statuses to invoke Symplr credentialing API and Epic scheduling flag updates.  </w:t>
        <w:br/>
        <w:t xml:space="preserve">7. **Test** end‑to‑end: create a test clinical worker, change status to *Credentialing Pending*, verify OIC call to Symplr, confirm UI displays Spanish translation, and ensure payroll receives no termination trigger.  </w:t>
        <w:br/>
        <w:t>8. **Document** the status matrix in the functional design and include it in the data migration mapping (HDL – HCM Data Loader) for legacy data load.</w:t>
      </w:r>
    </w:p>
    <w:p>
      <w:pPr>
        <w:pStyle w:val="Heading2"/>
      </w:pPr>
      <w:r>
        <w:t>3.19 Actions &amp; Action Reasons</w:t>
      </w:r>
    </w:p>
    <w:p>
      <w:r>
        <w:t>This section defines the Action Types (e.g., Hire, Transfer, Termination) and the associated Action Reasons that drive employee‑life‑cycle events in Fusion Core HR. Accurate configuration is critical for Meridian Health Systems because all downstream integrations (payroll, IT provisioning, Symplr credentialing, Epic scheduling) are event‑driven and rely on the Action/Reason hierarchy to trigger OIC processes, enforce compliance, and support multi‑language UI labeling.</w:t>
      </w:r>
    </w:p>
    <w:p>
      <w:r>
        <w:rPr>
          <w:b/>
        </w:rPr>
        <w:t xml:space="preserve">Oracle Recommendation: </w:t>
      </w:r>
      <w:r>
        <w:t>Oracle recommends using the standard Action hierarchy (Hire, Transfer, Termination, Re‑hire, Promotion, Demotion) and extending it with industry‑specific reasons (e.g., Credentialing Expired, Union Strike, Clinical Assignment Change). Action Reasons should be localized via the HCM Experience Design Studio and linked to the appropriate Business Unit/Legal Entity to enable granular reporting and integration filtering. All Action Reasons must be maintained through the **Setup and Maintenance** task **Manage Actions** and **Manage Action Reasons**.</w:t>
      </w:r>
    </w:p>
    <w:p>
      <w:r>
        <w:rPr>
          <w:b/>
        </w:rPr>
        <w:t xml:space="preserve">Meridian Health Systems, Inc. Decision: </w:t>
      </w:r>
      <w:r>
        <w:t>Implement a unified global Action hierarchy with localized Action Reason descriptions for each legal entity (USA, Canada, Mexico). Create additional Action Reasons for clinical credentialing (e.g., "Credentialing Pending", "Credentialing Revoked"), union events (e.g., "Union Strike"), and bilingual support (Spanish and French‑Canadian). Map each Action Reason to the relevant Business Unit to satisfy compliance reporting and OIC integration filters.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Action</w:t>
            </w:r>
          </w:p>
        </w:tc>
        <w:tc>
          <w:tcPr>
            <w:tcW w:type="dxa" w:w="3033"/>
          </w:tcPr>
          <w:p>
            <w:r>
              <w:t>Standard set retained: Hire, Transfer, Termination, Re‑hire, Promotion, Demotion – aligns with Oracle best‑practice and supports all downstream OIC events.</w:t>
            </w:r>
          </w:p>
        </w:tc>
      </w:tr>
      <w:tr>
        <w:tc>
          <w:tcPr>
            <w:tcW w:type="dxa" w:w="3033"/>
          </w:tcPr>
          <w:p>
            <w:r>
              <w:t>Configuration Item</w:t>
            </w:r>
          </w:p>
        </w:tc>
        <w:tc>
          <w:tcPr>
            <w:tcW w:type="dxa" w:w="3033"/>
          </w:tcPr>
          <w:p>
            <w:r>
              <w:t>Action Reason – Credentialing Pending</w:t>
            </w:r>
          </w:p>
        </w:tc>
        <w:tc>
          <w:tcPr>
            <w:tcW w:type="dxa" w:w="3033"/>
          </w:tcPr>
          <w:p>
            <w:r>
              <w:t>Used when Symplr reports a pending credential; blocks clinical scheduling until status changes to "Credentialed". Scoped to all Legal Entities, localized EN/ES/FR.</w:t>
            </w:r>
          </w:p>
        </w:tc>
      </w:tr>
      <w:tr>
        <w:tc>
          <w:tcPr>
            <w:tcW w:type="dxa" w:w="3033"/>
          </w:tcPr>
          <w:p>
            <w:r>
              <w:t>Configuration Item</w:t>
            </w:r>
          </w:p>
        </w:tc>
        <w:tc>
          <w:tcPr>
            <w:tcW w:type="dxa" w:w="3033"/>
          </w:tcPr>
          <w:p>
            <w:r>
              <w:t>Action Reason – Credentialing Revoked</w:t>
            </w:r>
          </w:p>
        </w:tc>
        <w:tc>
          <w:tcPr>
            <w:tcW w:type="dxa" w:w="3033"/>
          </w:tcPr>
          <w:p>
            <w:r>
              <w:t>Triggers immediate termination workflow in scheduling system and notifies payroll. Scoped to USA and Canada where credentialing compliance is mandatory.</w:t>
            </w:r>
          </w:p>
        </w:tc>
      </w:tr>
      <w:tr>
        <w:tc>
          <w:tcPr>
            <w:tcW w:type="dxa" w:w="3033"/>
          </w:tcPr>
          <w:p>
            <w:r>
              <w:t>Configuration Item</w:t>
            </w:r>
          </w:p>
        </w:tc>
        <w:tc>
          <w:tcPr>
            <w:tcW w:type="dxa" w:w="3033"/>
          </w:tcPr>
          <w:p>
            <w:r>
              <w:t>Action Reason – Union Strike</w:t>
            </w:r>
          </w:p>
        </w:tc>
        <w:tc>
          <w:tcPr>
            <w:tcW w:type="dxa" w:w="3033"/>
          </w:tcPr>
          <w:p>
            <w:r>
              <w:t>Required for unionized workforce in US facilities; integrates with payroll to apply strike‑related pay rules. Localized EN only.</w:t>
            </w:r>
          </w:p>
        </w:tc>
      </w:tr>
      <w:tr>
        <w:tc>
          <w:tcPr>
            <w:tcW w:type="dxa" w:w="3033"/>
          </w:tcPr>
          <w:p>
            <w:r>
              <w:t>Configuration Item</w:t>
            </w:r>
          </w:p>
        </w:tc>
        <w:tc>
          <w:tcPr>
            <w:tcW w:type="dxa" w:w="3033"/>
          </w:tcPr>
          <w:p>
            <w:r>
              <w:t>Action Reason – Clinical Assignment Change</w:t>
            </w:r>
          </w:p>
        </w:tc>
        <w:tc>
          <w:tcPr>
            <w:tcW w:type="dxa" w:w="3033"/>
          </w:tcPr>
          <w:p>
            <w:r>
              <w:t>Supports internal transfers between specialties; feeds Epic scheduling to update provider availability. Scoped by Business Unit (e.g., Cardiology, Emergency).</w:t>
            </w:r>
          </w:p>
        </w:tc>
      </w:tr>
      <w:tr>
        <w:tc>
          <w:tcPr>
            <w:tcW w:type="dxa" w:w="3033"/>
          </w:tcPr>
          <w:p>
            <w:r>
              <w:t>Configuration Item</w:t>
            </w:r>
          </w:p>
        </w:tc>
        <w:tc>
          <w:tcPr>
            <w:tcW w:type="dxa" w:w="3033"/>
          </w:tcPr>
          <w:p>
            <w:r>
              <w:t>Action Reason – Language Preference Change (EN→ES / EN→FR)</w:t>
            </w:r>
          </w:p>
        </w:tc>
        <w:tc>
          <w:tcPr>
            <w:tcW w:type="dxa" w:w="3033"/>
          </w:tcPr>
          <w:p>
            <w:r>
              <w:t>Captures employee UI language change; updates HCM Experience Design Studio profile for personalized help content.</w:t>
            </w:r>
          </w:p>
        </w:tc>
      </w:tr>
      <w:tr>
        <w:tc>
          <w:tcPr>
            <w:tcW w:type="dxa" w:w="3033"/>
          </w:tcPr>
          <w:p>
            <w:r>
              <w:t>Configuration Item</w:t>
            </w:r>
          </w:p>
        </w:tc>
        <w:tc>
          <w:tcPr>
            <w:tcW w:type="dxa" w:w="3033"/>
          </w:tcPr>
          <w:p>
            <w:r>
              <w:t>Action Reason – Benefit Plan Change – Vendor (Benefitfocus)</w:t>
            </w:r>
          </w:p>
        </w:tc>
        <w:tc>
          <w:tcPr>
            <w:tcW w:type="dxa" w:w="3033"/>
          </w:tcPr>
          <w:p>
            <w:r>
              <w:t>Triggers OIC integration to Benefitfocus for enrollment updates. Scoped to all Legal Entities.</w:t>
            </w:r>
          </w:p>
        </w:tc>
      </w:tr>
      <w:tr>
        <w:tc>
          <w:tcPr>
            <w:tcW w:type="dxa" w:w="3033"/>
          </w:tcPr>
          <w:p>
            <w:r>
              <w:t>Configuration Item</w:t>
            </w:r>
          </w:p>
        </w:tc>
        <w:tc>
          <w:tcPr>
            <w:tcW w:type="dxa" w:w="3033"/>
          </w:tcPr>
          <w:p>
            <w:r>
              <w:t>Action Reason – Payroll Provider Switch (ADP ↔ Ceridian)</w:t>
            </w:r>
          </w:p>
        </w:tc>
        <w:tc>
          <w:tcPr>
            <w:tcW w:type="dxa" w:w="3033"/>
          </w:tcPr>
          <w:p>
            <w:r>
              <w:t>Used when employee moves between US and Canada; ensures correct payroll provider is invoked via OIC.</w:t>
            </w:r>
          </w:p>
        </w:tc>
      </w:tr>
    </w:tbl>
    <w:p>
      <w:r>
        <w:rPr>
          <w:b/>
        </w:rPr>
        <w:t xml:space="preserve">Configuration Notes: </w:t>
      </w:r>
      <w:r>
        <w:t>1. Navigate to **Setup and Maintenance** → **Task: Manage Actions**. Verify that the default Action set includes Hire, Transfer, Termination, Re‑hire, Promotion, Demotion. No deletions are permitted; only additions.</w:t>
        <w:br/>
        <w:t>2. For each new Action Reason, use **Setup and Maintenance** → **Task: Manage Action Reasons**. Create the reason, assign it to the appropriate Action, and set the **Legal Entity** and **Business Unit** scope.</w:t>
        <w:br/>
        <w:t>3. Localize Action Reason names and help text via **HCM Experience Design Studio** → **Localization** → **Add Language (Spanish, French‑Canadian)**.</w:t>
        <w:br/>
        <w:t>4. Enable the **Action Reason Hierarchy** (Setup and Maintenance → **Define Action Reason Hierarchy**) to allow multi‑level approvals (e.g., Manager → HR → Union Representative).</w:t>
        <w:br/>
        <w:t>5. Activate **Event‑Driven Integration** flags on the new Action Reasons (Setup and Maintenance → **Configure Integration Event Triggers**) so OIC can publish hire/transfer/termination messages to ADP, Ceridian, Benefitfocus, Symplr, and Epic.</w:t>
        <w:br/>
        <w:t>6. Run **HDL – HCM Data Loader** (or Fast‑Formulas) to back‑load historic employee records with the newly created Action Reasons where applicable.</w:t>
        <w:br/>
        <w:t>7. Perform unit testing of OIC integrations by creating test employees and executing each Action Reason; verify that the correct integration payloads are generated.</w:t>
        <w:br/>
        <w:t>8. Document all Action Reason codes in the **Action Reason Reference Matrix** (see table_data) and include the language‑specific display values for UI translation.</w:t>
      </w:r>
    </w:p>
    <w:p>
      <w:pPr>
        <w:pStyle w:val="Heading2"/>
      </w:pPr>
      <w:r>
        <w:t>3.20 HR Lookups</w:t>
      </w:r>
    </w:p>
    <w:p>
      <w:r>
        <w:t>This section documents the configuration of all HR lookup tables that drive data validation, UI rendering, and integration logic across Core HR, Compensation &amp; Benefits, and the Credentialing extensions for Meridian Health Systems. Properly defined lookups ensure a single source of truth, enable multi‑language UI, and provide the reference data required for OIC event‑driven integrations with payroll, benefits, and clinical systems.</w:t>
      </w:r>
    </w:p>
    <w:p>
      <w:r>
        <w:rPr>
          <w:b/>
        </w:rPr>
        <w:t xml:space="preserve">Oracle Recommendation: </w:t>
      </w:r>
      <w:r>
        <w:t>Oracle recommends using the standard "Manage Common Lookups" task to create and maintain lookup types and values, leveraging the "Manage Languages" and "Manage Language Translations" tasks for bilingual (EN/ES) and French‑Canadian (FR‑CA) support. For credentialing, extend the standard "Credentialing Status" lookup via HDL – HCM Data Loader to synchronize real‑time status from Symplr. All lookups should be scoped to the appropriate Legal Entity and Business Unit to satisfy regulatory and union requirements.</w:t>
      </w:r>
    </w:p>
    <w:p>
      <w:r>
        <w:rPr>
          <w:b/>
        </w:rPr>
        <w:t xml:space="preserve">Meridian Health Systems, Inc. Decision: </w:t>
      </w:r>
      <w:r>
        <w:t>Meridian Health Systems will implement a consolidated set of global lookups covering Employee, Job, Grade, Location, Legal Entity, Business Unit, Union, Compensation Element, Credentialing Status, and Language. Lookups will be created centrally in the "Global" hierarchy and then assigned to each of the four legal entities (USA, Canada, Mexico) using the "Manage Lookup Assignments" task. Language‑specific values will be entered via "Manage Language Translations" to support 2,100 Spanish‑speaking and 490 French‑Canadian users. The Credentialing Status lookup will be populated nightly from Symplr using an OIC integration that writes to the HDL staging tables.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Lookup Type</w:t>
            </w:r>
          </w:p>
        </w:tc>
        <w:tc>
          <w:tcPr>
            <w:tcW w:type="dxa" w:w="3033"/>
          </w:tcPr>
          <w:p>
            <w:r>
              <w:t>Defines the category of reference data (e.g., Job, Grade, Location).</w:t>
            </w:r>
          </w:p>
        </w:tc>
      </w:tr>
      <w:tr>
        <w:tc>
          <w:tcPr>
            <w:tcW w:type="dxa" w:w="3033"/>
          </w:tcPr>
          <w:p>
            <w:r>
              <w:t>Configuration Item</w:t>
            </w:r>
          </w:p>
        </w:tc>
        <w:tc>
          <w:tcPr>
            <w:tcW w:type="dxa" w:w="3033"/>
          </w:tcPr>
          <w:p>
            <w:r>
              <w:t>Job</w:t>
            </w:r>
          </w:p>
        </w:tc>
        <w:tc>
          <w:tcPr>
            <w:tcW w:type="dxa" w:w="3033"/>
          </w:tcPr>
          <w:p>
            <w:r>
              <w:t>All clinical and non‑clinical positions; scoped to Legal Entity and Business Unit.</w:t>
            </w:r>
          </w:p>
        </w:tc>
      </w:tr>
      <w:tr>
        <w:tc>
          <w:tcPr>
            <w:tcW w:type="dxa" w:w="3033"/>
          </w:tcPr>
          <w:p>
            <w:r>
              <w:t>Configuration Item</w:t>
            </w:r>
          </w:p>
        </w:tc>
        <w:tc>
          <w:tcPr>
            <w:tcW w:type="dxa" w:w="3033"/>
          </w:tcPr>
          <w:p>
            <w:r>
              <w:t>Grade</w:t>
            </w:r>
          </w:p>
        </w:tc>
        <w:tc>
          <w:tcPr>
            <w:tcW w:type="dxa" w:w="3033"/>
          </w:tcPr>
          <w:p>
            <w:r>
              <w:t>Compensation grades aligned with union contracts; separate grade structures per country.</w:t>
            </w:r>
          </w:p>
        </w:tc>
      </w:tr>
      <w:tr>
        <w:tc>
          <w:tcPr>
            <w:tcW w:type="dxa" w:w="3033"/>
          </w:tcPr>
          <w:p>
            <w:r>
              <w:t>Configuration Item</w:t>
            </w:r>
          </w:p>
        </w:tc>
        <w:tc>
          <w:tcPr>
            <w:tcW w:type="dxa" w:w="3033"/>
          </w:tcPr>
          <w:p>
            <w:r>
              <w:t>Location</w:t>
            </w:r>
          </w:p>
        </w:tc>
        <w:tc>
          <w:tcPr>
            <w:tcW w:type="dxa" w:w="3033"/>
          </w:tcPr>
          <w:p>
            <w:r>
              <w:t>42 facility codes; includes address, country, and site type (Hospital, Clinic).</w:t>
            </w:r>
          </w:p>
        </w:tc>
      </w:tr>
      <w:tr>
        <w:tc>
          <w:tcPr>
            <w:tcW w:type="dxa" w:w="3033"/>
          </w:tcPr>
          <w:p>
            <w:r>
              <w:t>Configuration Item</w:t>
            </w:r>
          </w:p>
        </w:tc>
        <w:tc>
          <w:tcPr>
            <w:tcW w:type="dxa" w:w="3033"/>
          </w:tcPr>
          <w:p>
            <w:r>
              <w:t>Legal Entity</w:t>
            </w:r>
          </w:p>
        </w:tc>
        <w:tc>
          <w:tcPr>
            <w:tcW w:type="dxa" w:w="3033"/>
          </w:tcPr>
          <w:p>
            <w:r>
              <w:t>USA, Canada, Mexico – used for statutory reporting and payroll routing.</w:t>
            </w:r>
          </w:p>
        </w:tc>
      </w:tr>
      <w:tr>
        <w:tc>
          <w:tcPr>
            <w:tcW w:type="dxa" w:w="3033"/>
          </w:tcPr>
          <w:p>
            <w:r>
              <w:t>Configuration Item</w:t>
            </w:r>
          </w:p>
        </w:tc>
        <w:tc>
          <w:tcPr>
            <w:tcW w:type="dxa" w:w="3033"/>
          </w:tcPr>
          <w:p>
            <w:r>
              <w:t>Business Unit</w:t>
            </w:r>
          </w:p>
        </w:tc>
        <w:tc>
          <w:tcPr>
            <w:tcW w:type="dxa" w:w="3033"/>
          </w:tcPr>
          <w:p>
            <w:r>
              <w:t>Clinical Services, Support Services, Research; assigned to each Legal Entity.</w:t>
            </w:r>
          </w:p>
        </w:tc>
      </w:tr>
      <w:tr>
        <w:tc>
          <w:tcPr>
            <w:tcW w:type="dxa" w:w="3033"/>
          </w:tcPr>
          <w:p>
            <w:r>
              <w:t>Configuration Item</w:t>
            </w:r>
          </w:p>
        </w:tc>
        <w:tc>
          <w:tcPr>
            <w:tcW w:type="dxa" w:w="3033"/>
          </w:tcPr>
          <w:p>
            <w:r>
              <w:t>Union</w:t>
            </w:r>
          </w:p>
        </w:tc>
        <w:tc>
          <w:tcPr>
            <w:tcW w:type="dxa" w:w="3033"/>
          </w:tcPr>
          <w:p>
            <w:r>
              <w:t>Union identifiers for collective bargaining groups; required for US and Canada.</w:t>
            </w:r>
          </w:p>
        </w:tc>
      </w:tr>
      <w:tr>
        <w:tc>
          <w:tcPr>
            <w:tcW w:type="dxa" w:w="3033"/>
          </w:tcPr>
          <w:p>
            <w:r>
              <w:t>Configuration Item</w:t>
            </w:r>
          </w:p>
        </w:tc>
        <w:tc>
          <w:tcPr>
            <w:tcW w:type="dxa" w:w="3033"/>
          </w:tcPr>
          <w:p>
            <w:r>
              <w:t>Compensation Element</w:t>
            </w:r>
          </w:p>
        </w:tc>
        <w:tc>
          <w:tcPr>
            <w:tcW w:type="dxa" w:w="3033"/>
          </w:tcPr>
          <w:p>
            <w:r>
              <w:t>Base Salary, Shift Differential, Bonus, Allowances – mapped to Compensation Plans.</w:t>
            </w:r>
          </w:p>
        </w:tc>
      </w:tr>
      <w:tr>
        <w:tc>
          <w:tcPr>
            <w:tcW w:type="dxa" w:w="3033"/>
          </w:tcPr>
          <w:p>
            <w:r>
              <w:t>Configuration Item</w:t>
            </w:r>
          </w:p>
        </w:tc>
        <w:tc>
          <w:tcPr>
            <w:tcW w:type="dxa" w:w="3033"/>
          </w:tcPr>
          <w:p>
            <w:r>
              <w:t>Credentialing Status</w:t>
            </w:r>
          </w:p>
        </w:tc>
        <w:tc>
          <w:tcPr>
            <w:tcW w:type="dxa" w:w="3033"/>
          </w:tcPr>
          <w:p>
            <w:r>
              <w:t>Custom lookup synchronized nightly from Symplr; values: Active, Inactive, Pending Review, Suspended.</w:t>
            </w:r>
          </w:p>
        </w:tc>
      </w:tr>
      <w:tr>
        <w:tc>
          <w:tcPr>
            <w:tcW w:type="dxa" w:w="3033"/>
          </w:tcPr>
          <w:p>
            <w:r>
              <w:t>Configuration Item</w:t>
            </w:r>
          </w:p>
        </w:tc>
        <w:tc>
          <w:tcPr>
            <w:tcW w:type="dxa" w:w="3033"/>
          </w:tcPr>
          <w:p>
            <w:r>
              <w:t>Language</w:t>
            </w:r>
          </w:p>
        </w:tc>
        <w:tc>
          <w:tcPr>
            <w:tcW w:type="dxa" w:w="3033"/>
          </w:tcPr>
          <w:p>
            <w:r>
              <w:t>EN (English – default), ES (Spanish), FR‑CA (French‑Canadian).</w:t>
            </w:r>
          </w:p>
        </w:tc>
      </w:tr>
      <w:tr>
        <w:tc>
          <w:tcPr>
            <w:tcW w:type="dxa" w:w="3033"/>
          </w:tcPr>
          <w:p>
            <w:r>
              <w:t>Configuration Item</w:t>
            </w:r>
          </w:p>
        </w:tc>
        <w:tc>
          <w:tcPr>
            <w:tcW w:type="dxa" w:w="3033"/>
          </w:tcPr>
          <w:p>
            <w:r>
              <w:t>Global → USA, Canada, Mexico</w:t>
            </w:r>
          </w:p>
        </w:tc>
        <w:tc>
          <w:tcPr>
            <w:tcW w:type="dxa" w:w="3033"/>
          </w:tcPr>
          <w:p>
            <w:r>
              <w:t>Ensures each legal entity inherits the master list while allowing entity‑specific extensions.</w:t>
            </w:r>
          </w:p>
        </w:tc>
      </w:tr>
      <w:tr>
        <w:tc>
          <w:tcPr>
            <w:tcW w:type="dxa" w:w="3033"/>
          </w:tcPr>
          <w:p>
            <w:r>
              <w:t>Configuration Item</w:t>
            </w:r>
          </w:p>
        </w:tc>
        <w:tc>
          <w:tcPr>
            <w:tcW w:type="dxa" w:w="3033"/>
          </w:tcPr>
          <w:p>
            <w:r>
              <w:t>EN: Nurse; ES: Enfermera; FR‑CA: Infirmière</w:t>
            </w:r>
          </w:p>
        </w:tc>
        <w:tc>
          <w:tcPr>
            <w:tcW w:type="dxa" w:w="3033"/>
          </w:tcPr>
          <w:p>
            <w:r>
              <w:t>Demonstrates multilingual entry via Manage Language Translations.</w:t>
            </w:r>
          </w:p>
        </w:tc>
      </w:tr>
    </w:tbl>
    <w:p>
      <w:r>
        <w:rPr>
          <w:b/>
        </w:rPr>
        <w:t xml:space="preserve">Configuration Notes: </w:t>
      </w:r>
      <w:r>
        <w:t>1. Navigate to **Setup and Maintenance** → **Task: Manage Common Lookups**.</w:t>
        <w:br/>
        <w:t xml:space="preserve">   - Create lookup types: Job, Grade, Location, Legal Entity, Business Unit, Union, Compensation Element, Credentialing Status, Language.</w:t>
        <w:br/>
        <w:t>2. For each lookup type, use **Task: Define Lookup Values** to load the master list (initial load via HDL – HCM Data Loader, subsequent changes via UI).</w:t>
        <w:br/>
        <w:t>3. Assign lookups to legal entities via **Task: Manage Lookup Assignments** (select USA, Canada, Mexico as target entities).</w:t>
        <w:br/>
        <w:t>4. Enable multilingual support:</w:t>
        <w:br/>
        <w:t xml:space="preserve">   - **Task: Manage Languages** – activate EN, ES, FR‑CA.</w:t>
        <w:br/>
        <w:t xml:space="preserve">   - **Task: Manage Language Translations** – enter translated values for each lookup value (e.g., "Nurse" → "Enfermera" (ES), "Infirmière" (FR‑CA)).</w:t>
        <w:br/>
        <w:t>5. Credentialing integration:</w:t>
        <w:br/>
        <w:t xml:space="preserve">   - Create a custom lookup type **Credentialing Status** (values: Active, Inactive, Pending Review, Suspended).</w:t>
        <w:br/>
        <w:t xml:space="preserve">   - Use HDL to load initial status values.</w:t>
        <w:br/>
        <w:t xml:space="preserve">   - Build an OIC integration that calls Symplr API, maps status to the lookup, and upserts via the **HRMS_HR_LOOKUP_VALUES** staging table.</w:t>
        <w:br/>
        <w:t>6. Validation:</w:t>
        <w:br/>
        <w:t xml:space="preserve">   - Run **Task: Validate Lookups** after each load to ensure no orphaned references.</w:t>
        <w:br/>
        <w:t xml:space="preserve">   - Test UI language switching in **HR Experience Design Studio** to confirm translations appear correctly.</w:t>
        <w:br/>
        <w:t>7. Governance:</w:t>
        <w:br/>
        <w:t xml:space="preserve">   - Document ownership (HR Data Governance Council) and change‑control process in the SDD.</w:t>
        <w:br/>
        <w:t xml:space="preserve">   - Schedule quarterly reconciliation between Fusion lookups and source systems (Symplr, Epic, payroll providers).</w:t>
      </w:r>
    </w:p>
    <w:p>
      <w:pPr>
        <w:pStyle w:val="Heading2"/>
      </w:pPr>
      <w:r>
        <w:t>3.21 Descriptive Flexfields</w:t>
      </w:r>
    </w:p>
    <w:p>
      <w:r>
        <w:t>This section documents the design, configuration and governance of Descriptive Flexfields (DFFs) that extend standard Fusion HCM objects to capture Meridian Health Systems’ unique data attributes such as clinical credentialing, union classifications, multilingual preferences, and third‑party integration identifiers. Proper DFF configuration ensures data integrity across the consolidated employee master, supports event‑driven integrations, and enables compliance reporting for the multi‑country, unionized healthcare environment.</w:t>
      </w:r>
    </w:p>
    <w:p>
      <w:r>
        <w:rPr>
          <w:b/>
        </w:rPr>
        <w:t xml:space="preserve">Oracle Recommendation: </w:t>
      </w:r>
      <w:r>
        <w:t>Oracle best practice for a high‑complexity, multi‑country healthcare organization is to (1) create a dedicated Flexfield Context for each core HCM business object (Person, Assignment, Compensation, Benefits, and Payroll), (2) limit the number of segments per context to 10‑12 to maintain performance, (3) use Value Sets with validation rules for controlled vocabularies (e.g., credentialing status, union codes), (4) apply Display Rules to surface language‑specific labels, (5) secure DFF segments via Flexfield Security Profiles aligned to HR security roles, and (6) load initial values using HDL – HCM Data Loader with the “DFF_SEGMENT” and “DFF_VALUE” tables.</w:t>
      </w:r>
    </w:p>
    <w:p>
      <w:r>
        <w:rPr>
          <w:b/>
        </w:rPr>
        <w:t xml:space="preserve">Meridian Health Systems, Inc. Decision: </w:t>
      </w:r>
      <w:r>
        <w:t xml:space="preserve">Meridian Health Systems will implement a unified DFF strategy that includes: </w:t>
        <w:br/>
        <w:t xml:space="preserve">- A **Clinical Credentialing DFF Context** on the Person object to capture real‑time Symplr status and Epic provider identifiers. </w:t>
        <w:br/>
        <w:t xml:space="preserve">- A **Union &amp; Collective Bargaining DFF Context** on the Assignment object for union code, seniority date, and work‑rule group. </w:t>
        <w:br/>
        <w:t xml:space="preserve">- A **Language Preference DFF Context** on the Person object to store primary UI language (EN/ES/FR‑CA). </w:t>
        <w:br/>
        <w:t xml:space="preserve">- A **Payroll Integration DFF Context** on the Assignment object for payroll provider code and cost‑center mapping. </w:t>
        <w:br/>
        <w:t xml:space="preserve">- A **Benefits Vendor DFF Context** on the Benefits Plan object for Benefitfocus plan keys. </w:t>
        <w:br/>
        <w:t>All DFFs will be governed by a Data Governance Board and loaded initially via HDL, with ongoing maintenance through the “Manage Descriptive Flexfields” task.</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Flexfield Context Name</w:t>
            </w:r>
          </w:p>
        </w:tc>
        <w:tc>
          <w:tcPr>
            <w:tcW w:type="dxa" w:w="3033"/>
          </w:tcPr>
          <w:p>
            <w:r>
              <w:t>Descriptive name used in Setup; aligns with business object (e.g., PERSON_CLINICAL_CRED_DFF)</w:t>
            </w:r>
          </w:p>
        </w:tc>
      </w:tr>
      <w:tr>
        <w:tc>
          <w:tcPr>
            <w:tcW w:type="dxa" w:w="3033"/>
          </w:tcPr>
          <w:p>
            <w:r>
              <w:t>Configuration Item</w:t>
            </w:r>
          </w:p>
        </w:tc>
        <w:tc>
          <w:tcPr>
            <w:tcW w:type="dxa" w:w="3033"/>
          </w:tcPr>
          <w:p>
            <w:r>
              <w:t>Target Business Object</w:t>
            </w:r>
          </w:p>
        </w:tc>
        <w:tc>
          <w:tcPr>
            <w:tcW w:type="dxa" w:w="3033"/>
          </w:tcPr>
          <w:p>
            <w:r>
              <w:t>Person, Assignment, Benefits Plan, etc.; defined in ‘Assign Flexfield Contexts to Business Objects’</w:t>
            </w:r>
          </w:p>
        </w:tc>
      </w:tr>
      <w:tr>
        <w:tc>
          <w:tcPr>
            <w:tcW w:type="dxa" w:w="3033"/>
          </w:tcPr>
          <w:p>
            <w:r>
              <w:t>Configuration Item</w:t>
            </w:r>
          </w:p>
        </w:tc>
        <w:tc>
          <w:tcPr>
            <w:tcW w:type="dxa" w:w="3033"/>
          </w:tcPr>
          <w:p>
            <w:r>
              <w:t>Segment Name</w:t>
            </w:r>
          </w:p>
        </w:tc>
        <w:tc>
          <w:tcPr>
            <w:tcW w:type="dxa" w:w="3033"/>
          </w:tcPr>
          <w:p>
            <w:r>
              <w:t>e.g., CRED_STATUS, SYMPLR_ID, EPIC_PROVIDER_ID; created via ‘Define Flexfield Segments’</w:t>
            </w:r>
          </w:p>
        </w:tc>
      </w:tr>
      <w:tr>
        <w:tc>
          <w:tcPr>
            <w:tcW w:type="dxa" w:w="3033"/>
          </w:tcPr>
          <w:p>
            <w:r>
              <w:t>Configuration Item</w:t>
            </w:r>
          </w:p>
        </w:tc>
        <w:tc>
          <w:tcPr>
            <w:tcW w:type="dxa" w:w="3033"/>
          </w:tcPr>
          <w:p>
            <w:r>
              <w:t>Data Type</w:t>
            </w:r>
          </w:p>
        </w:tc>
        <w:tc>
          <w:tcPr>
            <w:tcW w:type="dxa" w:w="3033"/>
          </w:tcPr>
          <w:p>
            <w:r>
              <w:t>CHAR(10) for codes, DATE for expiration, NUMBER(5) for seniority rank</w:t>
            </w:r>
          </w:p>
        </w:tc>
      </w:tr>
      <w:tr>
        <w:tc>
          <w:tcPr>
            <w:tcW w:type="dxa" w:w="3033"/>
          </w:tcPr>
          <w:p>
            <w:r>
              <w:t>Configuration Item</w:t>
            </w:r>
          </w:p>
        </w:tc>
        <w:tc>
          <w:tcPr>
            <w:tcW w:type="dxa" w:w="3033"/>
          </w:tcPr>
          <w:p>
            <w:r>
              <w:t>Value Set</w:t>
            </w:r>
          </w:p>
        </w:tc>
        <w:tc>
          <w:tcPr>
            <w:tcW w:type="dxa" w:w="3033"/>
          </w:tcPr>
          <w:p>
            <w:r>
              <w:t>Credentialing_Status_VS, Union_Code_VS, Language_VS; ensures controlled entry</w:t>
            </w:r>
          </w:p>
        </w:tc>
      </w:tr>
      <w:tr>
        <w:tc>
          <w:tcPr>
            <w:tcW w:type="dxa" w:w="3033"/>
          </w:tcPr>
          <w:p>
            <w:r>
              <w:t>Configuration Item</w:t>
            </w:r>
          </w:p>
        </w:tc>
        <w:tc>
          <w:tcPr>
            <w:tcW w:type="dxa" w:w="3033"/>
          </w:tcPr>
          <w:p>
            <w:r>
              <w:t>Validation Rule</w:t>
            </w:r>
          </w:p>
        </w:tc>
        <w:tc>
          <w:tcPr>
            <w:tcW w:type="dxa" w:w="3033"/>
          </w:tcPr>
          <w:p>
            <w:r>
              <w:t>e.g., CRED_STATUS IN ('Active','Pending','Expired'); defined in ‘Define Flexfield Validation Rules’</w:t>
            </w:r>
          </w:p>
        </w:tc>
      </w:tr>
      <w:tr>
        <w:tc>
          <w:tcPr>
            <w:tcW w:type="dxa" w:w="3033"/>
          </w:tcPr>
          <w:p>
            <w:r>
              <w:t>Configuration Item</w:t>
            </w:r>
          </w:p>
        </w:tc>
        <w:tc>
          <w:tcPr>
            <w:tcW w:type="dxa" w:w="3033"/>
          </w:tcPr>
          <w:p>
            <w:r>
              <w:t>Display Rule (EN/ES/FR‑CA)</w:t>
            </w:r>
          </w:p>
        </w:tc>
        <w:tc>
          <w:tcPr>
            <w:tcW w:type="dxa" w:w="3033"/>
          </w:tcPr>
          <w:p>
            <w:r>
              <w:t>Label translations for UI; configured in ‘Define Flexfield Display Rules’</w:t>
            </w:r>
          </w:p>
        </w:tc>
      </w:tr>
      <w:tr>
        <w:tc>
          <w:tcPr>
            <w:tcW w:type="dxa" w:w="3033"/>
          </w:tcPr>
          <w:p>
            <w:r>
              <w:t>Configuration Item</w:t>
            </w:r>
          </w:p>
        </w:tc>
        <w:tc>
          <w:tcPr>
            <w:tcW w:type="dxa" w:w="3033"/>
          </w:tcPr>
          <w:p>
            <w:r>
              <w:t>Security Profile</w:t>
            </w:r>
          </w:p>
        </w:tc>
        <w:tc>
          <w:tcPr>
            <w:tcW w:type="dxa" w:w="3033"/>
          </w:tcPr>
          <w:p>
            <w:r>
              <w:t>HR_Manager_DFF_Edit, Compensation_Analyst_View; assigned via ‘Define Flexfield Security Profiles’</w:t>
            </w:r>
          </w:p>
        </w:tc>
      </w:tr>
      <w:tr>
        <w:tc>
          <w:tcPr>
            <w:tcW w:type="dxa" w:w="3033"/>
          </w:tcPr>
          <w:p>
            <w:r>
              <w:t>Configuration Item</w:t>
            </w:r>
          </w:p>
        </w:tc>
        <w:tc>
          <w:tcPr>
            <w:tcW w:type="dxa" w:w="3033"/>
          </w:tcPr>
          <w:p>
            <w:r>
              <w:t>HDL Load File</w:t>
            </w:r>
          </w:p>
        </w:tc>
        <w:tc>
          <w:tcPr>
            <w:tcW w:type="dxa" w:w="3033"/>
          </w:tcPr>
          <w:p>
            <w:r>
              <w:t>DFF_SEGMENT.csv and DFF_VALUE.csv; used for bulk load of segment definitions and default values</w:t>
            </w:r>
          </w:p>
        </w:tc>
      </w:tr>
      <w:tr>
        <w:tc>
          <w:tcPr>
            <w:tcW w:type="dxa" w:w="3033"/>
          </w:tcPr>
          <w:p>
            <w:r>
              <w:t>Configuration Item</w:t>
            </w:r>
          </w:p>
        </w:tc>
        <w:tc>
          <w:tcPr>
            <w:tcW w:type="dxa" w:w="3033"/>
          </w:tcPr>
          <w:p>
            <w:r>
              <w:t>Integration Mapping</w:t>
            </w:r>
          </w:p>
        </w:tc>
        <w:tc>
          <w:tcPr>
            <w:tcW w:type="dxa" w:w="3033"/>
          </w:tcPr>
          <w:p>
            <w:r>
              <w:t>Include DFF fields in OIC integration payloads for Hire, Transfer, Termination events</w:t>
            </w:r>
          </w:p>
        </w:tc>
      </w:tr>
    </w:tbl>
    <w:p>
      <w:r>
        <w:rPr>
          <w:b/>
        </w:rPr>
        <w:t xml:space="preserve">Configuration Notes: </w:t>
      </w:r>
      <w:r>
        <w:t xml:space="preserve">1. **Setup and Maintenance &gt; Flexfields &gt; Descriptive Flexfields &gt; Manage Descriptive Flexfields** – Create the five Flexfield Contexts listed above. </w:t>
        <w:br/>
        <w:t xml:space="preserve">2. **Define Flexfield Segments** – For each context, define segments (max 12) with appropriate data types (CHAR, DATE, NUMBER). </w:t>
        <w:br/>
        <w:t xml:space="preserve">3. **Define Flexfield Value Sets** – Use **Setup and Maintenance &gt; Flexfields &gt; Descriptive Flexfields &gt; Define Flexfield Value Sets** to create controlled lists (e.g., Credentialing_Status_VS, Union_Code_VS, Language_VS). </w:t>
        <w:br/>
        <w:t xml:space="preserve">4. **Define Flexfield Validation Rules** – Apply validation to enforce business rules (e.g., Credentialing status must be ‘Active’, ‘Pending’, or ‘Expired’). </w:t>
        <w:br/>
        <w:t xml:space="preserve">5. **Define Flexfield Display Rules** – Configure language‑specific labels via **Setup and Maintenance &gt; Flexfields &gt; Descriptive Flexfields &gt; Define Flexfield Display Rules**; map EN, ES, FR‑CA translations. </w:t>
        <w:br/>
        <w:t xml:space="preserve">6. **Define Flexfield Security Profiles** – Restrict edit/view access using **Setup and Maintenance &gt; Flexfields &gt; Descriptive Flexfields &gt; Define Flexfield Security Profiles**; assign to HR roles (HR Manager, Compensation Analyst, Benefits Administrator). </w:t>
        <w:br/>
        <w:t xml:space="preserve">7. **Assign Flexfield Contexts to Business Objects** – Use **Setup and Maintenance &gt; Flexfields &gt; Descriptive Flexfields &gt; Assign Flexfield Contexts to Business Objects** to attach each context to its target object (Person, Assignment, etc.). </w:t>
        <w:br/>
        <w:t xml:space="preserve">8. **Load Initial DFF Values** – Prepare HDL files (DFF_SEGMENT, DFF_VALUE) and execute **HDL – HCM Data Loader** with the “Load DFF” option. </w:t>
        <w:br/>
        <w:t xml:space="preserve">9. **Test Integration Impact** – Verify that OIC integration maps (Hire, Transfer, Termination) include the new DFF fields in the payloads. </w:t>
        <w:br/>
        <w:t>10. **Documentation &amp; Governance** – Record all DFF definitions in the Data Dictionary and include in the Change Management process.</w:t>
      </w:r>
    </w:p>
    <w:p>
      <w:pPr>
        <w:pStyle w:val="Heading2"/>
      </w:pPr>
      <w:r>
        <w:t>3.22 Extensible Flexfields</w:t>
      </w:r>
    </w:p>
    <w:p>
      <w:r>
        <w:t>This section documents the design and configuration of Extensible Flexfields (EFF) required to capture Meridian Health Systems’ unique data attributes across Core HR, Compensation, and Benefits. EFFs enable the capture of supplemental, country‑specific, and compliance‑driven information while preserving a single source of truth for the employee master record.</w:t>
      </w:r>
    </w:p>
    <w:p>
      <w:r>
        <w:rPr>
          <w:b/>
        </w:rPr>
        <w:t xml:space="preserve">Oracle Recommendation: </w:t>
      </w:r>
      <w:r>
        <w:t>Oracle recommends leveraging Global Person‑Level EFFs for attributes that are common across all legal entities (e.g., language preference, credentialing status) and Business‑Unit‑Level EFFs for entity‑specific data (e.g., union codes, payroll provider identifiers). Use the ‘Manage Extensible Flexfields’ task to define, enable, and secure each flexfield, and apply the ‘Define Extensible Flexfield’ sub‑task for segment creation. For multi‑language UI, enable the ‘Display Labels in Multiple Languages’ option and provide translations via the Language Pack Maintenance task.</w:t>
      </w:r>
    </w:p>
    <w:p>
      <w:r>
        <w:rPr>
          <w:b/>
        </w:rPr>
        <w:t xml:space="preserve">Meridian Health Systems, Inc. Decision: </w:t>
      </w:r>
      <w:r>
        <w:t>Implement a hybrid EFF strategy: • Global Person‑Level EFFs for Language Preference, Credentialing Status, and Global Employee ID. • Business‑Unit‑Level EFFs for Union Membership, Payroll Provider Code, and Benefit Election Details. All flexfields will be configured as mandatory where regulatory or integration requirements dictate (e.g., Credentialing Status) and optional elsewhere. Security will be enforced through Data Security Policies to restrict view/edit rights to HR, Credentialing, and Payroll teams.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Global Person‑Level EFF – Language Preference</w:t>
            </w:r>
          </w:p>
        </w:tc>
        <w:tc>
          <w:tcPr>
            <w:tcW w:type="dxa" w:w="3033"/>
          </w:tcPr>
          <w:p>
            <w:r>
              <w:t>Captures employee UI language (EN, ES, FR‑CA). Mandatory for all employees to support bilingual UI. Implemented via LOV with translations.</w:t>
            </w:r>
          </w:p>
        </w:tc>
      </w:tr>
      <w:tr>
        <w:tc>
          <w:tcPr>
            <w:tcW w:type="dxa" w:w="3033"/>
          </w:tcPr>
          <w:p>
            <w:r>
              <w:t>Configuration Item</w:t>
            </w:r>
          </w:p>
        </w:tc>
        <w:tc>
          <w:tcPr>
            <w:tcW w:type="dxa" w:w="3033"/>
          </w:tcPr>
          <w:p>
            <w:r>
              <w:t>Global Person‑Level EFF – Credentialing Status</w:t>
            </w:r>
          </w:p>
        </w:tc>
        <w:tc>
          <w:tcPr>
            <w:tcW w:type="dxa" w:w="3033"/>
          </w:tcPr>
          <w:p>
            <w:r>
              <w:t>Stores real‑time status from Symplr (Active, Pending, Expired). Integrated via OIC; flagged in scheduling system. Mandatory for clinical staff.</w:t>
            </w:r>
          </w:p>
        </w:tc>
      </w:tr>
      <w:tr>
        <w:tc>
          <w:tcPr>
            <w:tcW w:type="dxa" w:w="3033"/>
          </w:tcPr>
          <w:p>
            <w:r>
              <w:t>Configuration Item</w:t>
            </w:r>
          </w:p>
        </w:tc>
        <w:tc>
          <w:tcPr>
            <w:tcW w:type="dxa" w:w="3033"/>
          </w:tcPr>
          <w:p>
            <w:r>
              <w:t>Global Person‑Level EFF – Global Employee ID</w:t>
            </w:r>
          </w:p>
        </w:tc>
        <w:tc>
          <w:tcPr>
            <w:tcW w:type="dxa" w:w="3033"/>
          </w:tcPr>
          <w:p>
            <w:r>
              <w:t>Golden record identifier across all legal entities. Populated by HRIS integration hub; read‑only for downstream systems.</w:t>
            </w:r>
          </w:p>
        </w:tc>
      </w:tr>
      <w:tr>
        <w:tc>
          <w:tcPr>
            <w:tcW w:type="dxa" w:w="3033"/>
          </w:tcPr>
          <w:p>
            <w:r>
              <w:t>Configuration Item</w:t>
            </w:r>
          </w:p>
        </w:tc>
        <w:tc>
          <w:tcPr>
            <w:tcW w:type="dxa" w:w="3033"/>
          </w:tcPr>
          <w:p>
            <w:r>
              <w:t>Business‑Unit‑Level EFF – Union Membership Code</w:t>
            </w:r>
          </w:p>
        </w:tc>
        <w:tc>
          <w:tcPr>
            <w:tcW w:type="dxa" w:w="3033"/>
          </w:tcPr>
          <w:p>
            <w:r>
              <w:t>Country‑specific union codes (US, CA, MX). Optional for non‑union staff; required for unionized workforce. Secured to HR and Union Representatives.</w:t>
            </w:r>
          </w:p>
        </w:tc>
      </w:tr>
      <w:tr>
        <w:tc>
          <w:tcPr>
            <w:tcW w:type="dxa" w:w="3033"/>
          </w:tcPr>
          <w:p>
            <w:r>
              <w:t>Configuration Item</w:t>
            </w:r>
          </w:p>
        </w:tc>
        <w:tc>
          <w:tcPr>
            <w:tcW w:type="dxa" w:w="3033"/>
          </w:tcPr>
          <w:p>
            <w:r>
              <w:t>Business‑Unit‑Level EFF – Payroll Provider Code</w:t>
            </w:r>
          </w:p>
        </w:tc>
        <w:tc>
          <w:tcPr>
            <w:tcW w:type="dxa" w:w="3033"/>
          </w:tcPr>
          <w:p>
            <w:r>
              <w:t>Identifies payroll provider per legal entity (ADP_US, CERIDIAN_CA). Used by OIC to route payroll feeds. Read‑only for Payroll team.</w:t>
            </w:r>
          </w:p>
        </w:tc>
      </w:tr>
      <w:tr>
        <w:tc>
          <w:tcPr>
            <w:tcW w:type="dxa" w:w="3033"/>
          </w:tcPr>
          <w:p>
            <w:r>
              <w:t>Configuration Item</w:t>
            </w:r>
          </w:p>
        </w:tc>
        <w:tc>
          <w:tcPr>
            <w:tcW w:type="dxa" w:w="3033"/>
          </w:tcPr>
          <w:p>
            <w:r>
              <w:t>Business‑Unit‑Level EFF – Benefit Election Details</w:t>
            </w:r>
          </w:p>
        </w:tc>
        <w:tc>
          <w:tcPr>
            <w:tcW w:type="dxa" w:w="3033"/>
          </w:tcPr>
          <w:p>
            <w:r>
              <w:t>Captures supplemental benefit selections not covered by standard Benefits module (e.g., wellness stipend). Optional; visible to Benefits Administrator.</w:t>
            </w:r>
          </w:p>
        </w:tc>
      </w:tr>
      <w:tr>
        <w:tc>
          <w:tcPr>
            <w:tcW w:type="dxa" w:w="3033"/>
          </w:tcPr>
          <w:p>
            <w:r>
              <w:t>Configuration Item</w:t>
            </w:r>
          </w:p>
        </w:tc>
        <w:tc>
          <w:tcPr>
            <w:tcW w:type="dxa" w:w="3033"/>
          </w:tcPr>
          <w:p>
            <w:r>
              <w:t>Business‑Unit‑Level EFF – Clinical Credential Type</w:t>
            </w:r>
          </w:p>
        </w:tc>
        <w:tc>
          <w:tcPr>
            <w:tcW w:type="dxa" w:w="3033"/>
          </w:tcPr>
          <w:p>
            <w:r>
              <w:t>Stores credential type (MD, RN, PA, etc.) to support specialty‑based scheduling rules. Mandatory for providers; integrated with Epic via OIC.</w:t>
            </w:r>
          </w:p>
        </w:tc>
      </w:tr>
      <w:tr>
        <w:tc>
          <w:tcPr>
            <w:tcW w:type="dxa" w:w="3033"/>
          </w:tcPr>
          <w:p>
            <w:r>
              <w:t>Configuration Item</w:t>
            </w:r>
          </w:p>
        </w:tc>
        <w:tc>
          <w:tcPr>
            <w:tcW w:type="dxa" w:w="3033"/>
          </w:tcPr>
          <w:p>
            <w:r>
              <w:t>Security Policy – EFF Access Control</w:t>
            </w:r>
          </w:p>
        </w:tc>
        <w:tc>
          <w:tcPr>
            <w:tcW w:type="dxa" w:w="3033"/>
          </w:tcPr>
          <w:p>
            <w:r>
              <w:t>Defined via **Security Console → Data Security Policies**. Grants HR Admin full CRUD, Payroll read‑only on Payroll Provider Code, Credentialing team full access to Credentialing Status.</w:t>
            </w:r>
          </w:p>
        </w:tc>
      </w:tr>
      <w:tr>
        <w:tc>
          <w:tcPr>
            <w:tcW w:type="dxa" w:w="3033"/>
          </w:tcPr>
          <w:p>
            <w:r>
              <w:t>Configuration Item</w:t>
            </w:r>
          </w:p>
        </w:tc>
        <w:tc>
          <w:tcPr>
            <w:tcW w:type="dxa" w:w="3033"/>
          </w:tcPr>
          <w:p>
            <w:r>
              <w:t>Translation – Display Labels</w:t>
            </w:r>
          </w:p>
        </w:tc>
        <w:tc>
          <w:tcPr>
            <w:tcW w:type="dxa" w:w="3033"/>
          </w:tcPr>
          <w:p>
            <w:r>
              <w:t>Implemented using **Manage Translations**. Provides UI labels for each segment in EN, ES, FR‑CA to meet bilingual requirement.</w:t>
            </w:r>
          </w:p>
        </w:tc>
      </w:tr>
    </w:tbl>
    <w:p>
      <w:r>
        <w:rPr>
          <w:b/>
        </w:rPr>
        <w:t xml:space="preserve">Configuration Notes: </w:t>
      </w:r>
      <w:r>
        <w:t>1. Navigate to **Setup and Maintenance** → **Task: Manage Extensible Flexfields**. 2. Select **Person** (global) and **Business Unit** (entity‑specific) as the primary objects. 3. Use **Define Extensible Flexfield** to create each flexfield, specifying:   - **Flexfield Name** (e.g., PERSON_LANG_PREF_EFF)   - **Segments** (e.g., Language Code, Language Description)   - **Data Type** (List of Values, Text, Date)   - **Validation Rules** (e.g., LOV must include EN, ES, FR‑CA)   - **Default Values** where applicable. 4. Activate the flexfields via **Enable Extensible Flexfield**. 5. Configure **Display Labels in Multiple Languages** under **Manage Translations** for EN, ES, FR‑CA. 6. Assign **Data Security Policies** (HR Administrators – Full Access; Payroll – Read‑Only on Payroll Provider Code; Credentialing – Read/Write on Credentialing Status). 7. Test integration payloads in OIC to ensure the new EFF columns are exposed in the **Person** and **Person Assignment** entities. 8. Document all changes in the **Change Management** log and update the **Functional Design Specification** accordingly.</w:t>
      </w:r>
    </w:p>
    <w:p>
      <w:pPr>
        <w:pStyle w:val="Heading2"/>
      </w:pPr>
      <w:r>
        <w:t>3.23 Key Flexfields</w:t>
      </w:r>
    </w:p>
    <w:p>
      <w:r>
        <w:t>This section documents the design and configuration of all Key Flexfields (KFFs) required to capture Meridian Health Systems’ master‑data attributes across Core HR, Compensation &amp; Benefits, and the credentialing integration. Proper KFF configuration ensures a single source of truth, supports multi‑country reporting, enables bilingual UI rendering, and provides the necessary data elements for downstream integrations (OIC, Symplr, Epic).</w:t>
      </w:r>
    </w:p>
    <w:p>
      <w:r>
        <w:rPr>
          <w:b/>
        </w:rPr>
        <w:t xml:space="preserve">Oracle Recommendation: </w:t>
      </w:r>
      <w:r>
        <w:t>Oracle best practice for a multi‑country, unionized healthcare organization is to leverage the Global Employee ID (GEID) as the primary KFF, enable language‑specific display values, and configure supplemental KFFs for Credentialing Status, Union Code, and Benefit Plan to satisfy compliance and reporting needs. All KFFs should be defined using the **Setup and Maintenance** task **Manage Key Flexfields** and the related sub‑tasks **Define Key Flexfield Segments**, **Assign Segments to Flexfield**, and **Set Flexfield Values**. Use **HCM Data Loader (HDL)** for bulk loading of segment values and **HCM Experience Design Studio** for UI language overrides.</w:t>
      </w:r>
    </w:p>
    <w:p>
      <w:r>
        <w:rPr>
          <w:b/>
        </w:rPr>
        <w:t xml:space="preserve">Meridian Health Systems, Inc. Decision: </w:t>
      </w:r>
      <w:r>
        <w:t>Meridian Health Systems will implement the following KFF design:</w:t>
        <w:br/>
        <w:t>1. Global Employee ID – 10‑character alphanumeric, system‑generated, unique across all legal entities.</w:t>
        <w:br/>
        <w:t>2. Business Unit – Hierarchical KFF aligned to legal entity and facility.</w:t>
        <w:br/>
        <w:t>3. Legal Entity – Country‑specific segment with language‑dependent display.</w:t>
        <w:br/>
        <w:t>4. Job – Standardized job codes with bilingual descriptions.</w:t>
        <w:br/>
        <w:t>5. Position – Position number linked to Business Unit and Location.</w:t>
        <w:br/>
        <w:t>6. Grade – Compensation grade with regional pay band mapping.</w:t>
        <w:br/>
        <w:t>7. Location – Facility code with multilingual labels.</w:t>
        <w:br/>
        <w:t>8. Credentialing Status – Custom KFF (3‑segment) to capture real‑time Symplr status (Active, Pending, Expired).</w:t>
        <w:br/>
        <w:t>9. Union Code – Custom KFF to identify union affiliation for collective‑bargaining reporting.</w:t>
        <w:br/>
        <w:t>10. Benefit Plan – Custom KFF to map to Benefitfocus plan IDs.</w:t>
        <w:br/>
        <w:t>All KFFs will be configured for EN, ES, and FR‑CA display values and will be exposed to OIC via the **HCM Data Services** APIs.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Global Employee ID (GEID)</w:t>
            </w:r>
          </w:p>
        </w:tc>
        <w:tc>
          <w:tcPr>
            <w:tcW w:type="dxa" w:w="3033"/>
          </w:tcPr>
          <w:p>
            <w:r>
              <w:t>10‑character alphanumeric, system‑generated; defined via Manage Key Flexfields &gt; Global Employee ID; supports EN/ES/FR‑CA display via FND_FLEX_VALUE_TL</w:t>
            </w:r>
          </w:p>
        </w:tc>
      </w:tr>
      <w:tr>
        <w:tc>
          <w:tcPr>
            <w:tcW w:type="dxa" w:w="3033"/>
          </w:tcPr>
          <w:p>
            <w:r>
              <w:t>Configuration Item</w:t>
            </w:r>
          </w:p>
        </w:tc>
        <w:tc>
          <w:tcPr>
            <w:tcW w:type="dxa" w:w="3033"/>
          </w:tcPr>
          <w:p>
            <w:r>
              <w:t>Business Unit KFF</w:t>
            </w:r>
          </w:p>
        </w:tc>
        <w:tc>
          <w:tcPr>
            <w:tcW w:type="dxa" w:w="3033"/>
          </w:tcPr>
          <w:p>
            <w:r>
              <w:t>Segments: Legal Entity (2‑char), Facility Code (4‑char), Sequence (2‑char); hierarchical mapping to legal entities; values loaded with HDL</w:t>
            </w:r>
          </w:p>
        </w:tc>
      </w:tr>
      <w:tr>
        <w:tc>
          <w:tcPr>
            <w:tcW w:type="dxa" w:w="3033"/>
          </w:tcPr>
          <w:p>
            <w:r>
              <w:t>Configuration Item</w:t>
            </w:r>
          </w:p>
        </w:tc>
        <w:tc>
          <w:tcPr>
            <w:tcW w:type="dxa" w:w="3033"/>
          </w:tcPr>
          <w:p>
            <w:r>
              <w:t>Legal Entity KFF</w:t>
            </w:r>
          </w:p>
        </w:tc>
        <w:tc>
          <w:tcPr>
            <w:tcW w:type="dxa" w:w="3033"/>
          </w:tcPr>
          <w:p>
            <w:r>
              <w:t>Country‑specific segment; display values translated; used for tax and statutory reporting</w:t>
            </w:r>
          </w:p>
        </w:tc>
      </w:tr>
      <w:tr>
        <w:tc>
          <w:tcPr>
            <w:tcW w:type="dxa" w:w="3033"/>
          </w:tcPr>
          <w:p>
            <w:r>
              <w:t>Configuration Item</w:t>
            </w:r>
          </w:p>
        </w:tc>
        <w:tc>
          <w:tcPr>
            <w:tcW w:type="dxa" w:w="3033"/>
          </w:tcPr>
          <w:p>
            <w:r>
              <w:t>Job KFF</w:t>
            </w:r>
          </w:p>
        </w:tc>
        <w:tc>
          <w:tcPr>
            <w:tcW w:type="dxa" w:w="3033"/>
          </w:tcPr>
          <w:p>
            <w:r>
              <w:t>Standard job codes; bilingual descriptions; maintained in FND_FLEX_VALUE</w:t>
            </w:r>
          </w:p>
        </w:tc>
      </w:tr>
      <w:tr>
        <w:tc>
          <w:tcPr>
            <w:tcW w:type="dxa" w:w="3033"/>
          </w:tcPr>
          <w:p>
            <w:r>
              <w:t>Configuration Item</w:t>
            </w:r>
          </w:p>
        </w:tc>
        <w:tc>
          <w:tcPr>
            <w:tcW w:type="dxa" w:w="3033"/>
          </w:tcPr>
          <w:p>
            <w:r>
              <w:t>Position KFF</w:t>
            </w:r>
          </w:p>
        </w:tc>
        <w:tc>
          <w:tcPr>
            <w:tcW w:type="dxa" w:w="3033"/>
          </w:tcPr>
          <w:p>
            <w:r>
              <w:t>Position Number (8‑digit) linked to Business Unit and Location; auto‑generated on hire</w:t>
            </w:r>
          </w:p>
        </w:tc>
      </w:tr>
      <w:tr>
        <w:tc>
          <w:tcPr>
            <w:tcW w:type="dxa" w:w="3033"/>
          </w:tcPr>
          <w:p>
            <w:r>
              <w:t>Configuration Item</w:t>
            </w:r>
          </w:p>
        </w:tc>
        <w:tc>
          <w:tcPr>
            <w:tcW w:type="dxa" w:w="3033"/>
          </w:tcPr>
          <w:p>
            <w:r>
              <w:t>Grade KFF</w:t>
            </w:r>
          </w:p>
        </w:tc>
        <w:tc>
          <w:tcPr>
            <w:tcW w:type="dxa" w:w="3033"/>
          </w:tcPr>
          <w:p>
            <w:r>
              <w:t>Compensation grade with regional pay band mapping; values loaded from compensation master data</w:t>
            </w:r>
          </w:p>
        </w:tc>
      </w:tr>
      <w:tr>
        <w:tc>
          <w:tcPr>
            <w:tcW w:type="dxa" w:w="3033"/>
          </w:tcPr>
          <w:p>
            <w:r>
              <w:t>Configuration Item</w:t>
            </w:r>
          </w:p>
        </w:tc>
        <w:tc>
          <w:tcPr>
            <w:tcW w:type="dxa" w:w="3033"/>
          </w:tcPr>
          <w:p>
            <w:r>
              <w:t>Location KFF</w:t>
            </w:r>
          </w:p>
        </w:tc>
        <w:tc>
          <w:tcPr>
            <w:tcW w:type="dxa" w:w="3033"/>
          </w:tcPr>
          <w:p>
            <w:r>
              <w:t>Facility code (4‑char) with multilingual labels; required for scheduling and credentialing</w:t>
            </w:r>
          </w:p>
        </w:tc>
      </w:tr>
      <w:tr>
        <w:tc>
          <w:tcPr>
            <w:tcW w:type="dxa" w:w="3033"/>
          </w:tcPr>
          <w:p>
            <w:r>
              <w:t>Configuration Item</w:t>
            </w:r>
          </w:p>
        </w:tc>
        <w:tc>
          <w:tcPr>
            <w:tcW w:type="dxa" w:w="3033"/>
          </w:tcPr>
          <w:p>
            <w:r>
              <w:t>Credentialing Status KFF (Custom)</w:t>
            </w:r>
          </w:p>
        </w:tc>
        <w:tc>
          <w:tcPr>
            <w:tcW w:type="dxa" w:w="3033"/>
          </w:tcPr>
          <w:p>
            <w:r>
              <w:t>3‑segment: Status (Active/Pending/Expired), Effective Date, Source System; updated via OIC from Symplr; displayed in scheduling UI</w:t>
            </w:r>
          </w:p>
        </w:tc>
      </w:tr>
      <w:tr>
        <w:tc>
          <w:tcPr>
            <w:tcW w:type="dxa" w:w="3033"/>
          </w:tcPr>
          <w:p>
            <w:r>
              <w:t>Configuration Item</w:t>
            </w:r>
          </w:p>
        </w:tc>
        <w:tc>
          <w:tcPr>
            <w:tcW w:type="dxa" w:w="3033"/>
          </w:tcPr>
          <w:p>
            <w:r>
              <w:t>Union Code KFF (Custom)</w:t>
            </w:r>
          </w:p>
        </w:tc>
        <w:tc>
          <w:tcPr>
            <w:tcW w:type="dxa" w:w="3033"/>
          </w:tcPr>
          <w:p>
            <w:r>
              <w:t>Identifies union affiliation; required for collective‑bargaining reporting; values maintained by HR compliance team</w:t>
            </w:r>
          </w:p>
        </w:tc>
      </w:tr>
      <w:tr>
        <w:tc>
          <w:tcPr>
            <w:tcW w:type="dxa" w:w="3033"/>
          </w:tcPr>
          <w:p>
            <w:r>
              <w:t>Configuration Item</w:t>
            </w:r>
          </w:p>
        </w:tc>
        <w:tc>
          <w:tcPr>
            <w:tcW w:type="dxa" w:w="3033"/>
          </w:tcPr>
          <w:p>
            <w:r>
              <w:t>Benefit Plan KFF (Custom)</w:t>
            </w:r>
          </w:p>
        </w:tc>
        <w:tc>
          <w:tcPr>
            <w:tcW w:type="dxa" w:w="3033"/>
          </w:tcPr>
          <w:p>
            <w:r>
              <w:t>Maps to Benefitfocus plan IDs; used in Compensation &amp; Benefits module; values loaded nightly via HDL</w:t>
            </w:r>
          </w:p>
        </w:tc>
      </w:tr>
    </w:tbl>
    <w:p>
      <w:r>
        <w:rPr>
          <w:b/>
        </w:rPr>
        <w:t xml:space="preserve">Configuration Notes: </w:t>
      </w:r>
      <w:r>
        <w:t>1. **Setup and Maintenance &gt; Manage Key Flexfields** – Create/modify each KFF listed above.</w:t>
        <w:br/>
        <w:t>2. **Define Key Flexfield Segments** – Add required segments (e.g., Country Code, Facility Code, Language Code) and set segment length, data type, and validation rules.</w:t>
        <w:br/>
        <w:t>3. **Assign Segments to Flexfield** – Associate the defined segments with the appropriate KFF (e.g., assign Country, Facility, and Sequence segments to Global Employee ID).</w:t>
        <w:br/>
        <w:t>4. **Set Flexfield Values** – Load segment values using **HDL – HCM Data Loader** (templates: FND_FLEX_VALUE, FND_FLEX_VALUE_SET). Include language‑specific display values in the **FND_FLEX_VALUE_TL** table.</w:t>
        <w:br/>
        <w:t>5. **Configure Bilingual UI** – Use **HCM Experience Design Studio** to create language‑specific help texts and field labels; map KFF display values to EN, ES, FR‑CA.</w:t>
        <w:br/>
        <w:t>6. **Enable Credentialing Integration** – Create a custom KFF (Credentialing Status) and expose it via **HCM Data Services**; configure OIC integration to update the KFF based on Symplr web‑service calls.</w:t>
        <w:br/>
        <w:t>7. **Security** – Assign appropriate data security policies (Setup and Maintenance &gt; Manage Data Security Policies) to restrict edit rights on Credentialing Status and Union Code to HR and Compliance roles.</w:t>
        <w:br/>
        <w:t>8. **Testing** – Validate KFF population through hire, transfer, and termination business events; verify that OIC triggers propagate changes to payroll providers and Epic.</w:t>
        <w:br/>
        <w:t>9. **Documentation** – Capture all segment definitions, value sets, and language translations in the project repository for future maintenance.</w:t>
      </w:r>
    </w:p>
    <w:p>
      <w:pPr>
        <w:pStyle w:val="Heading2"/>
      </w:pPr>
      <w:r>
        <w:t>3.24 Responsive User Experience</w:t>
      </w:r>
    </w:p>
    <w:p>
      <w:r>
        <w:t>This section defines the configuration of the Fusion HCM user interface to deliver a consistent, adaptive, and multilingual experience across desktops, tablets and smartphones. For Meridian Health Systems, a responsive UI is critical to support clinicians and staff who access the system from a variety of devices, in multiple languages, and need real‑time credentialing and workflow visibility.</w:t>
      </w:r>
    </w:p>
    <w:p>
      <w:r>
        <w:rPr>
          <w:b/>
        </w:rPr>
        <w:t xml:space="preserve">Oracle Recommendation: </w:t>
      </w:r>
      <w:r>
        <w:t>Oracle recommends leveraging HCM Experience Design Studio (Setup and Maintenance &gt; Manage HCM Experience Design Studio) together with Adaptive UI (Setup and Maintenance &gt; Configure Adaptive UI) to create a single, responsive UI that automatically adjusts to device form‑factor and language preference. Enable bilingual (English/Spanish) and French‑Canadian language packs, configure UI themes per legal entity, and activate Accessibility features to meet healthcare compliance (e.g., WCAG 2.1).</w:t>
      </w:r>
    </w:p>
    <w:p>
      <w:r>
        <w:rPr>
          <w:b/>
        </w:rPr>
        <w:t xml:space="preserve">Meridian Health Systems, Inc. Decision: </w:t>
      </w:r>
      <w:r>
        <w:t>Implement a unified responsive UI using HCM Experience Design Studio with three language packs (EN, ES, FR‑CA). Deploy a single corporate UI theme with optional legal‑entity overrides for Canada. Activate Adaptive UI for all roles, enable mobile‑first navigation, and configure role‑based UI personalization to surface credentialing status and approval tasks on the home page.</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Language Packs</w:t>
            </w:r>
          </w:p>
        </w:tc>
        <w:tc>
          <w:tcPr>
            <w:tcW w:type="dxa" w:w="3033"/>
          </w:tcPr>
          <w:p>
            <w:r>
              <w:t>English (US), Spanish (ES), French‑Canadian (CA)</w:t>
            </w:r>
          </w:p>
        </w:tc>
        <w:tc>
          <w:tcPr>
            <w:tcW w:type="dxa" w:w="3033"/>
          </w:tcPr>
          <w:p>
            <w:r>
              <w:t>Supports 2,100 Spanish‑speaking and 490 French‑speaking employees; required for compliance with local labor regulations.</w:t>
            </w:r>
          </w:p>
        </w:tc>
      </w:tr>
      <w:tr>
        <w:tc>
          <w:tcPr>
            <w:tcW w:type="dxa" w:w="3033"/>
          </w:tcPr>
          <w:p>
            <w:r>
              <w:t>UI Theme</w:t>
            </w:r>
          </w:p>
        </w:tc>
        <w:tc>
          <w:tcPr>
            <w:tcW w:type="dxa" w:w="3033"/>
          </w:tcPr>
          <w:p>
            <w:r>
              <w:t>MeridianBlue (global) with Canada override</w:t>
            </w:r>
          </w:p>
        </w:tc>
        <w:tc>
          <w:tcPr>
            <w:tcW w:type="dxa" w:w="3033"/>
          </w:tcPr>
          <w:p>
            <w:r>
              <w:t>Provides a consistent corporate look while allowing legal‑entity branding for Canada.</w:t>
            </w:r>
          </w:p>
        </w:tc>
      </w:tr>
      <w:tr>
        <w:tc>
          <w:tcPr>
            <w:tcW w:type="dxa" w:w="3033"/>
          </w:tcPr>
          <w:p>
            <w:r>
              <w:t>Adaptive UI</w:t>
            </w:r>
          </w:p>
        </w:tc>
        <w:tc>
          <w:tcPr>
            <w:tcW w:type="dxa" w:w="3033"/>
          </w:tcPr>
          <w:p>
            <w:r>
              <w:t>Enabled for all roles; breakpoints: Desktop ≥1024px, Tablet ≥768px, Mobile &lt;768px</w:t>
            </w:r>
          </w:p>
        </w:tc>
        <w:tc>
          <w:tcPr>
            <w:tcW w:type="dxa" w:w="3033"/>
          </w:tcPr>
          <w:p>
            <w:r>
              <w:t>Ensures optimal rendering on clinicians’ tablets and smartphones.</w:t>
            </w:r>
          </w:p>
        </w:tc>
      </w:tr>
      <w:tr>
        <w:tc>
          <w:tcPr>
            <w:tcW w:type="dxa" w:w="3033"/>
          </w:tcPr>
          <w:p>
            <w:r>
              <w:t>HCM Experience Design Studio Layouts</w:t>
            </w:r>
          </w:p>
        </w:tc>
        <w:tc>
          <w:tcPr>
            <w:tcW w:type="dxa" w:w="3033"/>
          </w:tcPr>
          <w:p>
            <w:r>
              <w:t>Desktop, Tablet, Mobile templates with Credentialing widget</w:t>
            </w:r>
          </w:p>
        </w:tc>
        <w:tc>
          <w:tcPr>
            <w:tcW w:type="dxa" w:w="3033"/>
          </w:tcPr>
          <w:p>
            <w:r>
              <w:t>Drag‑and‑drop layout simplifies future UI changes; real‑time credentialing status is visible on the dashboard.</w:t>
            </w:r>
          </w:p>
        </w:tc>
      </w:tr>
      <w:tr>
        <w:tc>
          <w:tcPr>
            <w:tcW w:type="dxa" w:w="3033"/>
          </w:tcPr>
          <w:p>
            <w:r>
              <w:t>Help Content Localization</w:t>
            </w:r>
          </w:p>
        </w:tc>
        <w:tc>
          <w:tcPr>
            <w:tcW w:type="dxa" w:w="3033"/>
          </w:tcPr>
          <w:p>
            <w:r>
              <w:t>EN, ES, FR‑CA help files uploaded via Manage Help Content</w:t>
            </w:r>
          </w:p>
        </w:tc>
        <w:tc>
          <w:tcPr>
            <w:tcW w:type="dxa" w:w="3033"/>
          </w:tcPr>
          <w:p>
            <w:r>
              <w:t>Provides language‑specific guidance, reducing support tickets.</w:t>
            </w:r>
          </w:p>
        </w:tc>
      </w:tr>
      <w:tr>
        <w:tc>
          <w:tcPr>
            <w:tcW w:type="dxa" w:w="3033"/>
          </w:tcPr>
          <w:p>
            <w:r>
              <w:t>Accessibility Settings</w:t>
            </w:r>
          </w:p>
        </w:tc>
        <w:tc>
          <w:tcPr>
            <w:tcW w:type="dxa" w:w="3033"/>
          </w:tcPr>
          <w:p>
            <w:r>
              <w:t>WCAG 2.1 compliance, screen‑reader labels, high‑contrast mode</w:t>
            </w:r>
          </w:p>
        </w:tc>
        <w:tc>
          <w:tcPr>
            <w:tcW w:type="dxa" w:w="3033"/>
          </w:tcPr>
          <w:p>
            <w:r>
              <w:t>Meets healthcare accessibility standards and ADA requirements.</w:t>
            </w:r>
          </w:p>
        </w:tc>
      </w:tr>
      <w:tr>
        <w:tc>
          <w:tcPr>
            <w:tcW w:type="dxa" w:w="3033"/>
          </w:tcPr>
          <w:p>
            <w:r>
              <w:t>UI Personalization Rules</w:t>
            </w:r>
          </w:p>
        </w:tc>
        <w:tc>
          <w:tcPr>
            <w:tcW w:type="dxa" w:w="3033"/>
          </w:tcPr>
          <w:p>
            <w:r>
              <w:t>Clinical Staff – Credentialing tile; HR Admin – Approval Queue; Union Rep – Bargaining Alerts</w:t>
            </w:r>
          </w:p>
        </w:tc>
        <w:tc>
          <w:tcPr>
            <w:tcW w:type="dxa" w:w="3033"/>
          </w:tcPr>
          <w:p>
            <w:r>
              <w:t>Delivers role‑relevant information at a glance, improving efficiency.</w:t>
            </w:r>
          </w:p>
        </w:tc>
      </w:tr>
      <w:tr>
        <w:tc>
          <w:tcPr>
            <w:tcW w:type="dxa" w:w="3033"/>
          </w:tcPr>
          <w:p>
            <w:r>
              <w:t>OIC UI Notification Integration</w:t>
            </w:r>
          </w:p>
        </w:tc>
        <w:tc>
          <w:tcPr>
            <w:tcW w:type="dxa" w:w="3033"/>
          </w:tcPr>
          <w:p>
            <w:r>
              <w:t>Event‑driven notifications for hire/transfer/termination</w:t>
            </w:r>
          </w:p>
        </w:tc>
        <w:tc>
          <w:tcPr>
            <w:tcW w:type="dxa" w:w="3033"/>
          </w:tcPr>
          <w:p>
            <w:r>
              <w:t>Triggers immediate UI updates for pending approvals and provisioning tasks.</w:t>
            </w:r>
          </w:p>
        </w:tc>
      </w:tr>
    </w:tbl>
    <w:p>
      <w:r>
        <w:rPr>
          <w:b/>
        </w:rPr>
        <w:t xml:space="preserve">Configuration Notes: </w:t>
      </w:r>
      <w:r>
        <w:t>1. **Setup Languages** – Setup and Maintenance &gt; Manage Languages: Activate English (US), Spanish (Spain) and French‑Canadian (Canada) language packs; set default language to English.</w:t>
        <w:br/>
        <w:t>2. **Configure UI Themes** – Setup and Maintenance &gt; Manage UI Themes: Create a corporate theme (MeridianBlue) and clone for Canada with French‑Canadian branding.</w:t>
        <w:br/>
        <w:t>3. **Define Adaptive UI Settings** – Setup and Maintenance &gt; Configure Adaptive UI: Enable Adaptive UI for all roles, set breakpoints for desktop (≥1024px), tablet (≥768px) and mobile (&lt;768px).</w:t>
        <w:br/>
        <w:t>4. **HCM Experience Design Studio – Layouts** – Setup and Maintenance &gt; Manage HCM Experience Design Studio Layouts: Build three layout templates (Desktop, Tablet, Mobile) using the drag‑and‑drop canvas; embed real‑time credentialing widget (Symplr API) on the Dashboard tile.</w:t>
        <w:br/>
        <w:t>5. **Language‑Specific Help Content** – Setup and Maintenance &gt; Manage Help Content: Upload EN, ES and FR‑CA help files; map to UI components via Help IDs.</w:t>
        <w:br/>
        <w:t>6. **Accessibility Configuration** – Setup and Maintenance &gt; Configure Accessibility: Turn on WCAG 2.1 compliance, enable screen‑reader labels and high‑contrast mode.</w:t>
        <w:br/>
        <w:t>7. **Role‑Based UI Personalization** – Setup and Maintenance &gt; Define UI Personalization Rules: Create rules for Clinical Staff (show Credentialing Status, Scheduling Links), HR Administrators (show Approval Queue), and Union Representatives (show Collective Bargaining Alerts).</w:t>
        <w:br/>
        <w:t>8. **OIC Event‑Driven UI Notifications** – Integration Cloud Service &gt; Configure OIC Event Triggers: Publish hire/transfer/termination events to the UI Notification Service so that pending approvals appear instantly on the user’s home page.</w:t>
        <w:br/>
        <w:t>9. **Testing &amp; Validation** – Use HCM Experience Design Studio &gt; Preview Mode to validate UI rendering across devices and languages; conduct user acceptance testing with bilingual pilot groups.</w:t>
        <w:br/>
        <w:t>10. **Documentation &amp; Training** – Capture configuration steps in the Implementation Guide; develop bilingual quick‑start guides and video tutorials.</w:t>
      </w:r>
    </w:p>
    <w:p>
      <w:pPr>
        <w:pStyle w:val="Heading2"/>
      </w:pPr>
      <w:r>
        <w:t>3.25 Area of Responsibility</w:t>
      </w:r>
    </w:p>
    <w:p>
      <w:r>
        <w:t>This section defines the logical grouping of employees, jobs, and related data that will be governed by a single set of security, workflow, and reporting rules. For Meridian Health Systems, a clear Area of Responsibility (AoR) is essential to support multi‑legal‑entity, multi‑language, unionized and credential‑driven operations while enabling a single source of truth for the consolidated employee master.</w:t>
      </w:r>
    </w:p>
    <w:p>
      <w:r>
        <w:rPr>
          <w:b/>
        </w:rPr>
        <w:t xml:space="preserve">Oracle Recommendation: </w:t>
      </w:r>
      <w:r>
        <w:t>Oracle recommends establishing a hierarchical AoR structure that aligns with the organization’s legal entities, business units, and functional domains (e.g., Clinical, Administrative, Support). Each AoR should be linked to a unique Global Employee ID (GEID) and configured with language‑specific UI defaults. Use the standard Setup and Maintenance task **Manage Areas of Responsibility** to create and maintain the hierarchy, and enable the **Event‑Driven Integration Framework** to propagate AoR changes to downstream systems (Payroll, IT, Epic).</w:t>
      </w:r>
    </w:p>
    <w:p>
      <w:r>
        <w:rPr>
          <w:b/>
        </w:rPr>
        <w:t xml:space="preserve">Meridian Health Systems, Inc. Decision: </w:t>
      </w:r>
      <w:r>
        <w:t>Create a three‑tier AoR hierarchy:</w:t>
        <w:br/>
        <w:t xml:space="preserve">1. **Legal Entity Level** – USA, Canada, Mexico (primary security boundary). </w:t>
        <w:br/>
        <w:t xml:space="preserve">2. **Business Unit Level** – Hospital Networks, Clinical Services, Corporate Services (supports union contracts and credentialing). </w:t>
        <w:br/>
        <w:t>3. **Functional Sub‑Area Level** – Nursing, Physicians, Allied Health, Administration, IT (enables language defaults and workflow specialization).  All employee records will be assigned to the most granular sub‑area; the parent AoR will inherit security and workflow definitions. This design satisfies the need for global master data, bilingual/French UI, and multi‑level approval workflows.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Recommended Value</w:t>
            </w:r>
          </w:p>
        </w:tc>
        <w:tc>
          <w:tcPr>
            <w:tcW w:type="dxa" w:w="3033"/>
          </w:tcPr>
          <w:p>
            <w:r>
              <w:rPr>
                <w:b/>
              </w:rPr>
              <w:t>Notes</w:t>
            </w:r>
          </w:p>
        </w:tc>
      </w:tr>
      <w:tr>
        <w:tc>
          <w:tcPr>
            <w:tcW w:type="dxa" w:w="3033"/>
          </w:tcPr>
          <w:p>
            <w:r>
              <w:t>Top‑Level AoR Names</w:t>
            </w:r>
          </w:p>
        </w:tc>
        <w:tc>
          <w:tcPr>
            <w:tcW w:type="dxa" w:w="3033"/>
          </w:tcPr>
          <w:p>
            <w:r>
              <w:t>USA – Meridian Health Systems, Inc.; Canada – Meridian Health Systems (CA); Mexico – Meridian Health Systems (MX)</w:t>
            </w:r>
          </w:p>
        </w:tc>
        <w:tc>
          <w:tcPr>
            <w:tcW w:type="dxa" w:w="3033"/>
          </w:tcPr>
          <w:p>
            <w:r>
              <w:t>Aligns with legal entities for payroll and statutory reporting.</w:t>
            </w:r>
          </w:p>
        </w:tc>
      </w:tr>
      <w:tr>
        <w:tc>
          <w:tcPr>
            <w:tcW w:type="dxa" w:w="3033"/>
          </w:tcPr>
          <w:p>
            <w:r>
              <w:t>Second‑Tier Business Units</w:t>
            </w:r>
          </w:p>
        </w:tc>
        <w:tc>
          <w:tcPr>
            <w:tcW w:type="dxa" w:w="3033"/>
          </w:tcPr>
          <w:p>
            <w:r>
              <w:t>Hospital Network, Clinical Services, Corporate Services</w:t>
            </w:r>
          </w:p>
        </w:tc>
        <w:tc>
          <w:tcPr>
            <w:tcW w:type="dxa" w:w="3033"/>
          </w:tcPr>
          <w:p>
            <w:r>
              <w:t>Supports union contracts and separates clinical vs. non‑clinical workforce.</w:t>
            </w:r>
          </w:p>
        </w:tc>
      </w:tr>
      <w:tr>
        <w:tc>
          <w:tcPr>
            <w:tcW w:type="dxa" w:w="3033"/>
          </w:tcPr>
          <w:p>
            <w:r>
              <w:t>Functional Sub‑Areas</w:t>
            </w:r>
          </w:p>
        </w:tc>
        <w:tc>
          <w:tcPr>
            <w:tcW w:type="dxa" w:w="3033"/>
          </w:tcPr>
          <w:p>
            <w:r>
              <w:t>Nursing, Physicians, Allied Health, Administration, IT, Support Services</w:t>
            </w:r>
          </w:p>
        </w:tc>
        <w:tc>
          <w:tcPr>
            <w:tcW w:type="dxa" w:w="3033"/>
          </w:tcPr>
          <w:p>
            <w:r>
              <w:t>Provides granularity for language defaults and credentialing flags.</w:t>
            </w:r>
          </w:p>
        </w:tc>
      </w:tr>
      <w:tr>
        <w:tc>
          <w:tcPr>
            <w:tcW w:type="dxa" w:w="3033"/>
          </w:tcPr>
          <w:p>
            <w:r>
              <w:t>Default Language per AoR</w:t>
            </w:r>
          </w:p>
        </w:tc>
        <w:tc>
          <w:tcPr>
            <w:tcW w:type="dxa" w:w="3033"/>
          </w:tcPr>
          <w:p>
            <w:r>
              <w:t>English – all US AoRs; English/Spanish – Canadian &amp; Mexican clinical sub‑areas; French‑Canadian – Quebec sub‑areas</w:t>
            </w:r>
          </w:p>
        </w:tc>
        <w:tc>
          <w:tcPr>
            <w:tcW w:type="dxa" w:w="3033"/>
          </w:tcPr>
          <w:p>
            <w:r>
              <w:t>Meets bilingual (EN/ES) and French‑Canadian UI requirement.</w:t>
            </w:r>
          </w:p>
        </w:tc>
      </w:tr>
      <w:tr>
        <w:tc>
          <w:tcPr>
            <w:tcW w:type="dxa" w:w="3033"/>
          </w:tcPr>
          <w:p>
            <w:r>
              <w:t>Credentialing Flag Attribute</w:t>
            </w:r>
          </w:p>
        </w:tc>
        <w:tc>
          <w:tcPr>
            <w:tcW w:type="dxa" w:w="3033"/>
          </w:tcPr>
          <w:p>
            <w:r>
              <w:t>Custom Boolean attribute ‘Credentialed_Status’ = TRUE/FALSE</w:t>
            </w:r>
          </w:p>
        </w:tc>
        <w:tc>
          <w:tcPr>
            <w:tcW w:type="dxa" w:w="3033"/>
          </w:tcPr>
          <w:p>
            <w:r>
              <w:t>Populated by real‑time Symplr integration; used to gate scheduling in Epic.</w:t>
            </w:r>
          </w:p>
        </w:tc>
      </w:tr>
      <w:tr>
        <w:tc>
          <w:tcPr>
            <w:tcW w:type="dxa" w:w="3033"/>
          </w:tcPr>
          <w:p>
            <w:r>
              <w:t>Event‑Driven Integration Enablement</w:t>
            </w:r>
          </w:p>
        </w:tc>
        <w:tc>
          <w:tcPr>
            <w:tcW w:type="dxa" w:w="3033"/>
          </w:tcPr>
          <w:p>
            <w:r>
              <w:t>OIC Integration – Publish AoR Change Events (Hire, Transfer, Termination)</w:t>
            </w:r>
          </w:p>
        </w:tc>
        <w:tc>
          <w:tcPr>
            <w:tcW w:type="dxa" w:w="3033"/>
          </w:tcPr>
          <w:p>
            <w:r>
              <w:t>Ensures downstream payroll, IT provisioning, and Epic receive timely updates.</w:t>
            </w:r>
          </w:p>
        </w:tc>
      </w:tr>
      <w:tr>
        <w:tc>
          <w:tcPr>
            <w:tcW w:type="dxa" w:w="3033"/>
          </w:tcPr>
          <w:p>
            <w:r>
              <w:t>Security Profile Assignment</w:t>
            </w:r>
          </w:p>
        </w:tc>
        <w:tc>
          <w:tcPr>
            <w:tcW w:type="dxa" w:w="3033"/>
          </w:tcPr>
          <w:p>
            <w:r>
              <w:t>Assign role‑based security profiles (HR Manager, Union Rep, Clinical Supervisor) to each AoR</w:t>
            </w:r>
          </w:p>
        </w:tc>
        <w:tc>
          <w:tcPr>
            <w:tcW w:type="dxa" w:w="3033"/>
          </w:tcPr>
          <w:p>
            <w:r>
              <w:t>Controls data visibility and approval workflow routing.</w:t>
            </w:r>
          </w:p>
        </w:tc>
      </w:tr>
      <w:tr>
        <w:tc>
          <w:tcPr>
            <w:tcW w:type="dxa" w:w="3033"/>
          </w:tcPr>
          <w:p>
            <w:r>
              <w:t>Bulk Load Method</w:t>
            </w:r>
          </w:p>
        </w:tc>
        <w:tc>
          <w:tcPr>
            <w:tcW w:type="dxa" w:w="3033"/>
          </w:tcPr>
          <w:p>
            <w:r>
              <w:t>HDL – Load Areas of Responsibility (CSV template with 42 facility rows)</w:t>
            </w:r>
          </w:p>
        </w:tc>
        <w:tc>
          <w:tcPr>
            <w:tcW w:type="dxa" w:w="3033"/>
          </w:tcPr>
          <w:p>
            <w:r>
              <w:t>Accelerates initial setup and ensures data consistency.</w:t>
            </w:r>
          </w:p>
        </w:tc>
      </w:tr>
    </w:tbl>
    <w:p>
      <w:r>
        <w:rPr>
          <w:b/>
        </w:rPr>
        <w:t xml:space="preserve">Configuration Notes: </w:t>
      </w:r>
      <w:r>
        <w:t>1. Navigate to **Setup and Maintenance** → **Task: Manage Areas of Responsibility**.</w:t>
        <w:br/>
        <w:t>2. Click **Create** and enter the AoR name, description, and **Parent AoR** (if applicable).</w:t>
        <w:br/>
        <w:t>3. Set **Legal Entity** field to the appropriate entity (USA, Canada, Mexico).</w:t>
        <w:br/>
        <w:t>4. Assign **Business Unit** and **Department** values to map to the second tier.</w:t>
        <w:br/>
        <w:t>5. Under **Language Preference**, select **English**, **Spanish**, or **French‑Canadian** as default for the AoR.</w:t>
        <w:br/>
        <w:t>6. Enable **Credentialing Flag** (custom attribute) to be populated by the Symplr integration.</w:t>
        <w:br/>
        <w:t>7. Activate **Event‑Driven Integration** for AoR change events (Hire, Transfer, Termination) via **OIC – Integration Cloud Service**.</w:t>
        <w:br/>
        <w:t>8. Configure **Security Profiles** (Setup and Maintenance → Manage Security Profiles) and associate them with each AoR.</w:t>
        <w:br/>
        <w:t>9. Validate hierarchy using **HR Data Loader (HDL) – Load Areas of Responsibility** for bulk load of the 42 facilities.</w:t>
        <w:br/>
        <w:t>10. Run **HR Data Validation** to ensure every employee record has a valid AoR reference before go‑live.</w:t>
      </w:r>
    </w:p>
    <w:p>
      <w:pPr>
        <w:pStyle w:val="Heading2"/>
      </w:pPr>
      <w:r>
        <w:t>3.26 Audit Policies</w:t>
      </w:r>
    </w:p>
    <w:p>
      <w:r>
        <w:t>This section defines the audit policies that will be enabled in Oracle Fusion HCM to capture critical changes to employee master data, compensation, benefits, and credentialing information. Auditing provides a tamper‑evident trail required for healthcare compliance (HIPAA, PHIPA), union contract governance, and multi‑country regulatory reporting. For Meridian Health Systems, Inc., audit logs will support investigations of credentialing status changes, payroll integration events, and bilingual UI configuration modifications across the four legal entities.</w:t>
      </w:r>
    </w:p>
    <w:p>
      <w:r>
        <w:rPr>
          <w:b/>
        </w:rPr>
        <w:t xml:space="preserve">Oracle Recommendation: </w:t>
      </w:r>
      <w:r>
        <w:t>Oracle best practice for a high‑complexity, multi‑country healthcare organization is to enable **Standard Auditing** for all HCM core objects, supplement with **Custom Auditing** for credentialing and integration‑trigger tables, and configure **Retention Policies** that meet the longest statutory requirement (7 years for US, 5 years for Canada, 5 years for Mexico). Enable **Real‑Time Auditing** for security‑sensitive objects and configure **Audit Notification** to the Compliance team via email and OIC alerts.</w:t>
      </w:r>
    </w:p>
    <w:p>
      <w:r>
        <w:rPr>
          <w:b/>
        </w:rPr>
        <w:t xml:space="preserve">Meridian Health Systems, Inc. Decision: </w:t>
      </w:r>
      <w:r>
        <w:t xml:space="preserve">Implement a layered audit strategy: </w:t>
        <w:br/>
        <w:t xml:space="preserve">1. Activate the out‑of‑the‑box **Standard Audit Policy – HCM Core** for all employee, assignment, compensation, and benefit entities. </w:t>
        <w:br/>
        <w:t xml:space="preserve">2. Create a **Custom Audit Policy – Credentialing_Status** to capture inserts/updates from the Symplr integration (tables HCM_PERSON_CREDENTIAL, HCM_PERSON_CREDENTIAL_STATUS). </w:t>
        <w:br/>
        <w:t xml:space="preserve">3. Enable **Real‑Time Auditing** for the **HCM_PERSON** and **HCM_ASSIGNMENT** tables to support immediate detection of unauthorized changes. </w:t>
        <w:br/>
        <w:t xml:space="preserve">4. Set retention to **7 years** for US legal entity data and **5 years** for Canada and Mexico, with a unified archival process. </w:t>
        <w:br/>
        <w:t>5. Configure audit notifications to the Compliance mailbox (compliance@meridianhealth.com) and an OIC event to the internal security monitoring hub.</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Standard Audit Policy – HCM Core</w:t>
            </w:r>
          </w:p>
        </w:tc>
        <w:tc>
          <w:tcPr>
            <w:tcW w:type="dxa" w:w="3033"/>
          </w:tcPr>
          <w:p>
            <w:r>
              <w:t>Covers employee, assignment, compensation, benefit tables; required for HIPAA and union contract auditability.</w:t>
            </w:r>
          </w:p>
        </w:tc>
      </w:tr>
      <w:tr>
        <w:tc>
          <w:tcPr>
            <w:tcW w:type="dxa" w:w="3033"/>
          </w:tcPr>
          <w:p>
            <w:r>
              <w:t>Configuration Item</w:t>
            </w:r>
          </w:p>
        </w:tc>
        <w:tc>
          <w:tcPr>
            <w:tcW w:type="dxa" w:w="3033"/>
          </w:tcPr>
          <w:p>
            <w:r>
              <w:t>Custom Audit Policy – Credentialing_Status_Audit</w:t>
            </w:r>
          </w:p>
        </w:tc>
        <w:tc>
          <w:tcPr>
            <w:tcW w:type="dxa" w:w="3033"/>
          </w:tcPr>
          <w:p>
            <w:r>
              <w:t>Captures real‑time changes from Symplr integration; critical for clinical scheduling compliance.</w:t>
            </w:r>
          </w:p>
        </w:tc>
      </w:tr>
      <w:tr>
        <w:tc>
          <w:tcPr>
            <w:tcW w:type="dxa" w:w="3033"/>
          </w:tcPr>
          <w:p>
            <w:r>
              <w:t>Configuration Item</w:t>
            </w:r>
          </w:p>
        </w:tc>
        <w:tc>
          <w:tcPr>
            <w:tcW w:type="dxa" w:w="3033"/>
          </w:tcPr>
          <w:p>
            <w:r>
              <w:t>Real‑Time Auditing Enabled</w:t>
            </w:r>
          </w:p>
        </w:tc>
        <w:tc>
          <w:tcPr>
            <w:tcW w:type="dxa" w:w="3033"/>
          </w:tcPr>
          <w:p>
            <w:r>
              <w:t>Enabled on HCM_PERSON and HCM_ASSIGNMENT to detect unauthorized master‑data changes instantly.</w:t>
            </w:r>
          </w:p>
        </w:tc>
      </w:tr>
      <w:tr>
        <w:tc>
          <w:tcPr>
            <w:tcW w:type="dxa" w:w="3033"/>
          </w:tcPr>
          <w:p>
            <w:r>
              <w:t>Configuration Item</w:t>
            </w:r>
          </w:p>
        </w:tc>
        <w:tc>
          <w:tcPr>
            <w:tcW w:type="dxa" w:w="3033"/>
          </w:tcPr>
          <w:p>
            <w:r>
              <w:t>Retention Period – USA Legal Entity</w:t>
            </w:r>
          </w:p>
        </w:tc>
        <w:tc>
          <w:tcPr>
            <w:tcW w:type="dxa" w:w="3033"/>
          </w:tcPr>
          <w:p>
            <w:r>
              <w:t>7 years to satisfy US healthcare record‑keeping regulations.</w:t>
            </w:r>
          </w:p>
        </w:tc>
      </w:tr>
      <w:tr>
        <w:tc>
          <w:tcPr>
            <w:tcW w:type="dxa" w:w="3033"/>
          </w:tcPr>
          <w:p>
            <w:r>
              <w:t>Configuration Item</w:t>
            </w:r>
          </w:p>
        </w:tc>
        <w:tc>
          <w:tcPr>
            <w:tcW w:type="dxa" w:w="3033"/>
          </w:tcPr>
          <w:p>
            <w:r>
              <w:t>Retention Period – Canada &amp; Mexico Legal Entities</w:t>
            </w:r>
          </w:p>
        </w:tc>
        <w:tc>
          <w:tcPr>
            <w:tcW w:type="dxa" w:w="3033"/>
          </w:tcPr>
          <w:p>
            <w:r>
              <w:t>5 years per local statutory requirements.</w:t>
            </w:r>
          </w:p>
        </w:tc>
      </w:tr>
      <w:tr>
        <w:tc>
          <w:tcPr>
            <w:tcW w:type="dxa" w:w="3033"/>
          </w:tcPr>
          <w:p>
            <w:r>
              <w:t>Configuration Item</w:t>
            </w:r>
          </w:p>
        </w:tc>
        <w:tc>
          <w:tcPr>
            <w:tcW w:type="dxa" w:w="3033"/>
          </w:tcPr>
          <w:p>
            <w:r>
              <w:t>Audit Notification Recipients</w:t>
            </w:r>
          </w:p>
        </w:tc>
        <w:tc>
          <w:tcPr>
            <w:tcW w:type="dxa" w:w="3033"/>
          </w:tcPr>
          <w:p>
            <w:r>
              <w:t>Compliance team email + OIC audit event flow for automated alerts.</w:t>
            </w:r>
          </w:p>
        </w:tc>
      </w:tr>
      <w:tr>
        <w:tc>
          <w:tcPr>
            <w:tcW w:type="dxa" w:w="3033"/>
          </w:tcPr>
          <w:p>
            <w:r>
              <w:t>Configuration Item</w:t>
            </w:r>
          </w:p>
        </w:tc>
        <w:tc>
          <w:tcPr>
            <w:tcW w:type="dxa" w:w="3033"/>
          </w:tcPr>
          <w:p>
            <w:r>
              <w:t>Audit Log Storage Location</w:t>
            </w:r>
          </w:p>
        </w:tc>
        <w:tc>
          <w:tcPr>
            <w:tcW w:type="dxa" w:w="3033"/>
          </w:tcPr>
          <w:p>
            <w:r>
              <w:t>Oracle Cloud Infrastructure Object Storage bucket **meridian‑hcm‑audit‑logs** with lifecycle policy to transition to archive after retention period.</w:t>
            </w:r>
          </w:p>
        </w:tc>
      </w:tr>
    </w:tbl>
    <w:p>
      <w:r>
        <w:rPr>
          <w:b/>
        </w:rPr>
        <w:t xml:space="preserve">Configuration Notes: </w:t>
      </w:r>
      <w:r>
        <w:t xml:space="preserve">1. **Setup and Maintenance &gt; Security &gt; Auditing &gt; Manage Audit Policies** – Activate the predefined **Standard Audit Policy – HCM Core**. </w:t>
        <w:br/>
        <w:t xml:space="preserve">2. **Setup and Maintenance &gt; Security &gt; Auditing &gt; Create Custom Audit Policy** – Define policy name **Credentialing_Status_Audit**, select objects **HCM_PERSON_CREDENTIAL**, **HCM_PERSON_CREDENTIAL_STATUS**, set **Audit Type = Insert, Update**, enable **Real‑Time Auditing**. </w:t>
        <w:br/>
        <w:t xml:space="preserve">3. **Setup and Maintenance &gt; Security &gt; Auditing &gt; Define Audit Retention** – Create three retention rules: </w:t>
        <w:br/>
        <w:t xml:space="preserve">   - Rule 1: Legal Entity = USA, Retention = 7 years. </w:t>
        <w:br/>
        <w:t xml:space="preserve">   - Rule 2: Legal Entity = Canada, Retention = 5 years. </w:t>
        <w:br/>
        <w:t xml:space="preserve">   - Rule 3: Legal Entity = Mexico, Retention = 5 years. </w:t>
        <w:br/>
        <w:t xml:space="preserve">4. **Setup and Maintenance &gt; Security &gt; Auditing &gt; Configure Audit Notification** – Add email recipient **compliance@meridianhealth.com**, select **Audit Event = Policy Violation**, enable **OIC Integration** by selecting **Audit Event Service** and mapping to the **Audit_Notification** OIC integration flow. </w:t>
        <w:br/>
        <w:t xml:space="preserve">5. **Setup and Maintenance &gt; Security &gt; Auditing &gt; Enable Real‑Time Auditing** – For objects **HCM_PERSON**, **HCM_ASSIGNMENT**, set **Real‑Time Auditing = Yes**. </w:t>
        <w:br/>
        <w:t xml:space="preserve">6. **Setup and Maintenance &gt; Security &gt; Auditing &gt; Review Audited Objects** – Verify that all objects listed in the **table_data** section are included. </w:t>
        <w:br/>
        <w:t>7. **Setup and Maintenance &gt; Security &gt; Auditing &gt; Test Audit Capture** – Perform a test hire, credentialing status update, and compensation change; confirm entries appear in **FND_AUDIT_TRAIL** and notifications are sent.</w:t>
      </w:r>
    </w:p>
    <w:p>
      <w:pPr>
        <w:pStyle w:val="Heading2"/>
      </w:pPr>
      <w:r>
        <w:t>3.27 Dashboard Reporting</w:t>
      </w:r>
    </w:p>
    <w:p>
      <w:r>
        <w:t>This section defines the design and configuration of role‑based dashboards that provide real‑time visibility into Core HR, Compensation, Benefits, and clinical credentialing data. For Meridian Health Systems, dashboards are critical to monitor workforce compliance, multi‑country payroll integration status, and hiring efficiency across 42 facilities, while supporting English, Spanish, and French‑Canadian language preferences.</w:t>
      </w:r>
    </w:p>
    <w:p>
      <w:r>
        <w:rPr>
          <w:b/>
        </w:rPr>
        <w:t xml:space="preserve">Oracle Recommendation: </w:t>
      </w:r>
      <w:r>
        <w:t>Oracle recommends leveraging HCM Experience Design Studio to build configurable, role‑based dashboards composed of Infolets and BI Publisher reports. Use the out‑of‑the‑box Dashboard Framework (Setup and Maintenance task **Manage Dashboards**) and enable multi‑language support via **Manage Translations**. For real‑time credentialing indicators, embed an Infolet that consumes the Symplr OIC integration payload.</w:t>
      </w:r>
    </w:p>
    <w:p>
      <w:r>
        <w:rPr>
          <w:b/>
        </w:rPr>
        <w:t xml:space="preserve">Meridian Health Systems, Inc. Decision: </w:t>
      </w:r>
      <w:r>
        <w:t>Implement a unified dashboard strategy with the following design:</w:t>
        <w:br/>
        <w:t>- **HR Operations Dashboard** (HR Administrators) – hiring pipeline, onboarding SLA, global employee ID health.</w:t>
        <w:br/>
        <w:t>- **Compensation &amp; Benefits Dashboard** (Compensation Managers) – salary change approvals, benefit enrollment status, payroll interface health.</w:t>
        <w:br/>
        <w:t>- **Clinical Credentialing Dashboard** (Clinical Ops &amp; Scheduling) – real‑time Symplr credential status, Epic provider flag, compliance alerts.</w:t>
        <w:br/>
        <w:t>- **Finance &amp; Payroll Dashboard** (Finance) – payroll provider status (ADP, Ceridian), cost‑center spend, multi‑currency summary.</w:t>
        <w:br/>
        <w:t>All dashboards will be delivered in English, Spanish, and French‑Canadian with language‑specific help content. Access will be controlled via security roles (HR Administrator, Compensation Manager, Clinical Scheduler, Finance Analyst).</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Dashboard Definitions (4)</w:t>
            </w:r>
          </w:p>
        </w:tc>
        <w:tc>
          <w:tcPr>
            <w:tcW w:type="dxa" w:w="3033"/>
          </w:tcPr>
          <w:p>
            <w:r>
              <w:t>One per major stakeholder group to provide focused KPI visibility</w:t>
            </w:r>
          </w:p>
        </w:tc>
      </w:tr>
      <w:tr>
        <w:tc>
          <w:tcPr>
            <w:tcW w:type="dxa" w:w="3033"/>
          </w:tcPr>
          <w:p>
            <w:r>
              <w:t>Configuration Item</w:t>
            </w:r>
          </w:p>
        </w:tc>
        <w:tc>
          <w:tcPr>
            <w:tcW w:type="dxa" w:w="3033"/>
          </w:tcPr>
          <w:p>
            <w:r>
              <w:t>Infolet: Credentialing Status</w:t>
            </w:r>
          </w:p>
        </w:tc>
        <w:tc>
          <w:tcPr>
            <w:tcW w:type="dxa" w:w="3033"/>
          </w:tcPr>
          <w:p>
            <w:r>
              <w:t>Consumes Symplr OIC payload; refresh every 5 min; flags non‑compliant providers</w:t>
            </w:r>
          </w:p>
        </w:tc>
      </w:tr>
      <w:tr>
        <w:tc>
          <w:tcPr>
            <w:tcW w:type="dxa" w:w="3033"/>
          </w:tcPr>
          <w:p>
            <w:r>
              <w:t>Configuration Item</w:t>
            </w:r>
          </w:p>
        </w:tc>
        <w:tc>
          <w:tcPr>
            <w:tcW w:type="dxa" w:w="3033"/>
          </w:tcPr>
          <w:p>
            <w:r>
              <w:t>Infolet: Hiring SLA</w:t>
            </w:r>
          </w:p>
        </w:tc>
        <w:tc>
          <w:tcPr>
            <w:tcW w:type="dxa" w:w="3033"/>
          </w:tcPr>
          <w:p>
            <w:r>
              <w:t>Tracks time‑to‑hire against target SLA; uses HCM_WORKFLOW_EVENT_T</w:t>
            </w:r>
          </w:p>
        </w:tc>
      </w:tr>
      <w:tr>
        <w:tc>
          <w:tcPr>
            <w:tcW w:type="dxa" w:w="3033"/>
          </w:tcPr>
          <w:p>
            <w:r>
              <w:t>Configuration Item</w:t>
            </w:r>
          </w:p>
        </w:tc>
        <w:tc>
          <w:tcPr>
            <w:tcW w:type="dxa" w:w="3033"/>
          </w:tcPr>
          <w:p>
            <w:r>
              <w:t>Infolet: Payroll Provider Health</w:t>
            </w:r>
          </w:p>
        </w:tc>
        <w:tc>
          <w:tcPr>
            <w:tcW w:type="dxa" w:w="3033"/>
          </w:tcPr>
          <w:p>
            <w:r>
              <w:t>Shows integration status for ADP (US) and Ceridian (CA); alerts on failures</w:t>
            </w:r>
          </w:p>
        </w:tc>
      </w:tr>
      <w:tr>
        <w:tc>
          <w:tcPr>
            <w:tcW w:type="dxa" w:w="3033"/>
          </w:tcPr>
          <w:p>
            <w:r>
              <w:t>Configuration Item</w:t>
            </w:r>
          </w:p>
        </w:tc>
        <w:tc>
          <w:tcPr>
            <w:tcW w:type="dxa" w:w="3033"/>
          </w:tcPr>
          <w:p>
            <w:r>
              <w:t>Three‑column responsive layout</w:t>
            </w:r>
          </w:p>
        </w:tc>
        <w:tc>
          <w:tcPr>
            <w:tcW w:type="dxa" w:w="3033"/>
          </w:tcPr>
          <w:p>
            <w:r>
              <w:t>Optimized for desktop and tablet; supports accessibility standards</w:t>
            </w:r>
          </w:p>
        </w:tc>
      </w:tr>
      <w:tr>
        <w:tc>
          <w:tcPr>
            <w:tcW w:type="dxa" w:w="3033"/>
          </w:tcPr>
          <w:p>
            <w:r>
              <w:t>Configuration Item</w:t>
            </w:r>
          </w:p>
        </w:tc>
        <w:tc>
          <w:tcPr>
            <w:tcW w:type="dxa" w:w="3033"/>
          </w:tcPr>
          <w:p>
            <w:r>
              <w:t>EN / ES / FR‑CA</w:t>
            </w:r>
          </w:p>
        </w:tc>
        <w:tc>
          <w:tcPr>
            <w:tcW w:type="dxa" w:w="3033"/>
          </w:tcPr>
          <w:p>
            <w:r>
              <w:t>Implemented via Manage Translations; includes help content for each language</w:t>
            </w:r>
          </w:p>
        </w:tc>
      </w:tr>
      <w:tr>
        <w:tc>
          <w:tcPr>
            <w:tcW w:type="dxa" w:w="3033"/>
          </w:tcPr>
          <w:p>
            <w:r>
              <w:t>Configuration Item</w:t>
            </w:r>
          </w:p>
        </w:tc>
        <w:tc>
          <w:tcPr>
            <w:tcW w:type="dxa" w:w="3033"/>
          </w:tcPr>
          <w:p>
            <w:r>
              <w:t>HR Administrator → HR Ops Dashboard; Compensation Manager → Compensation Dashboard; Clinical Scheduler → Clinical Credentialing Dashboard; Finance Analyst → Finance Dashboard</w:t>
            </w:r>
          </w:p>
        </w:tc>
        <w:tc>
          <w:tcPr>
            <w:tcW w:type="dxa" w:w="3033"/>
          </w:tcPr>
          <w:p>
            <w:r>
              <w:t>Configured with Assign Dashboard to Role task; enforces row‑level security</w:t>
            </w:r>
          </w:p>
        </w:tc>
      </w:tr>
      <w:tr>
        <w:tc>
          <w:tcPr>
            <w:tcW w:type="dxa" w:w="3033"/>
          </w:tcPr>
          <w:p>
            <w:r>
              <w:t>Configuration Item</w:t>
            </w:r>
          </w:p>
        </w:tc>
        <w:tc>
          <w:tcPr>
            <w:tcW w:type="dxa" w:w="3033"/>
          </w:tcPr>
          <w:p>
            <w:r>
              <w:t>5 min (Credentialing), 15 min (Hiring SLA), 30 min (Payroll Health)</w:t>
            </w:r>
          </w:p>
        </w:tc>
        <w:tc>
          <w:tcPr>
            <w:tcW w:type="dxa" w:w="3033"/>
          </w:tcPr>
          <w:p>
            <w:r>
              <w:t>Balances real‑time need with system performance</w:t>
            </w:r>
          </w:p>
        </w:tc>
      </w:tr>
      <w:tr>
        <w:tc>
          <w:tcPr>
            <w:tcW w:type="dxa" w:w="3033"/>
          </w:tcPr>
          <w:p>
            <w:r>
              <w:t>Configuration Item</w:t>
            </w:r>
          </w:p>
        </w:tc>
        <w:tc>
          <w:tcPr>
            <w:tcW w:type="dxa" w:w="3033"/>
          </w:tcPr>
          <w:p>
            <w:r>
              <w:t>Row‑level security based on Legal Entity and Business Unit</w:t>
            </w:r>
          </w:p>
        </w:tc>
        <w:tc>
          <w:tcPr>
            <w:tcW w:type="dxa" w:w="3033"/>
          </w:tcPr>
          <w:p>
            <w:r>
              <w:t>Ensures users see only data for their jurisdiction</w:t>
            </w:r>
          </w:p>
        </w:tc>
      </w:tr>
      <w:tr>
        <w:tc>
          <w:tcPr>
            <w:tcW w:type="dxa" w:w="3033"/>
          </w:tcPr>
          <w:p>
            <w:r>
              <w:t>Configuration Item</w:t>
            </w:r>
          </w:p>
        </w:tc>
        <w:tc>
          <w:tcPr>
            <w:tcW w:type="dxa" w:w="3033"/>
          </w:tcPr>
          <w:p>
            <w:r>
              <w:t>Embedded reports for deep dive (e.g., Compensation Change History)</w:t>
            </w:r>
          </w:p>
        </w:tc>
        <w:tc>
          <w:tcPr>
            <w:tcW w:type="dxa" w:w="3033"/>
          </w:tcPr>
          <w:p>
            <w:r>
              <w:t>Provides drill‑through capability from Infolet widgets</w:t>
            </w:r>
          </w:p>
        </w:tc>
      </w:tr>
    </w:tbl>
    <w:p>
      <w:r>
        <w:rPr>
          <w:b/>
        </w:rPr>
        <w:t xml:space="preserve">Configuration Notes: </w:t>
      </w:r>
      <w:r>
        <w:t xml:space="preserve">1. **Setup and Maintenance &gt; Manage Dashboards** – create four dashboard definitions (HR Ops, Compensation, Clinical Credentialing, Finance). </w:t>
        <w:br/>
        <w:t>2. **Setup and Maintenance &gt; Configure Infolets** – develop the following Infolets:</w:t>
        <w:br/>
        <w:t xml:space="preserve">   - *Credentialing Status Infolet* (data source: OIC Symplr integration view HCM_CRED_STATUS_V).</w:t>
        <w:br/>
        <w:t xml:space="preserve">   - *Hiring SLA Infolet* (data source: HCM_WORKFLOW_EVENT_T).</w:t>
        <w:br/>
        <w:t xml:space="preserve">   - *Payroll Provider Health Infolet* (data source: OIC payroll status view).</w:t>
        <w:br/>
        <w:t xml:space="preserve">3. **Setup and Maintenance &gt; Define Dashboard Layout** – assign Infolets to sections, set refresh intervals (5 min for credentialing, 15 min for hiring SLA). </w:t>
        <w:br/>
        <w:t xml:space="preserve">4. **Setup and Maintenance &gt; Assign Dashboard to Role** – map each dashboard to the appropriate security role using the **Assign Dashboard to Role** task. </w:t>
        <w:br/>
        <w:t xml:space="preserve">5. **Setup and Maintenance &gt; Manage Translations** – upload translation files for EN, ES, FR‑CA for all dashboard titles, labels, and help text. </w:t>
        <w:br/>
        <w:t xml:space="preserve">6. **Setup and Maintenance &gt; Configure Dashboard Security** – ensure row‑level security by linking Infolet data sources to the employee’s Legal Entity and Business Unit. </w:t>
        <w:br/>
        <w:t xml:space="preserve">7. **Setup and Maintenance &gt; Create Dashboard Page** – add the dashboards to the HCM Home Page for quick access. </w:t>
        <w:br/>
        <w:t xml:space="preserve">8. **Setup and Maintenance &gt; Configure BI Publisher Reports** – embed ad‑hoc reports (e.g., *Compensation Change History*) as Infolet widgets where deeper analysis is required. </w:t>
        <w:br/>
        <w:t>9. **Testing** – validate multi‑language rendering, real‑time data refresh, and role‑based visibility in a sandbox before production cut‑over.</w:t>
      </w:r>
    </w:p>
    <w:p>
      <w:pPr>
        <w:pStyle w:val="Heading2"/>
      </w:pPr>
      <w:r>
        <w:t>3.28 Document Records</w:t>
      </w:r>
    </w:p>
    <w:p>
      <w:r>
        <w:t>This section defines the configuration of Document Types that will be used to capture, store, and manage all employee‑related documents across Meridian Health Systems’ four legal entities. Proper document type setup enables secure attachment of contracts, credentialing certificates, benefit elections, union agreements, and immigration documents to the global employee record, supports bilingual UI labeling, and drives workflow routing for approvals and compliance audits.</w:t>
      </w:r>
    </w:p>
    <w:p>
      <w:r>
        <w:rPr>
          <w:b/>
        </w:rPr>
        <w:t xml:space="preserve">Oracle Recommendation: </w:t>
      </w:r>
      <w:r>
        <w:t>Oracle recommends leveraging the standard "Manage Document Types" task in Setup and Maintenance (Task: **Manage Document Types**) to create a global set of document types with localized labels, security profiles, and lifecycle rules. Use the Document Type hierarchy to inherit common attributes, enable versioning, and configure automatic attachment to relevant HR events (Hire, Transfer, Termination). For multi‑country deployments, define country‑specific document sub‑types and associate them with the appropriate Legal Entity and Business Unit.</w:t>
      </w:r>
    </w:p>
    <w:p>
      <w:r>
        <w:rPr>
          <w:b/>
        </w:rPr>
        <w:t xml:space="preserve">Meridian Health Systems, Inc. Decision: </w:t>
      </w:r>
      <w:r>
        <w:t>Create a unified Document Type hierarchy that serves all four legal entities while allowing localized extensions for Canada (French‑Canadian) and Mexico (Spanish). Attach each document type to the relevant HR event via the "Document Attachment Rules" page. Enable bilingual display names (EN/ES/FR‑CA) and configure security groups (HR Admin, Payroll, Credentialing Team) to control view/edit rights. Implement automatic expiration alerts for time‑sensitive documents (e.g., credentialing, visas).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Column</w:t>
            </w:r>
          </w:p>
        </w:tc>
        <w:tc>
          <w:tcPr>
            <w:tcW w:type="dxa" w:w="3033"/>
          </w:tcPr>
          <w:p>
            <w:r>
              <w:rPr>
                <w:b/>
              </w:rPr>
              <w:t>Value</w:t>
            </w:r>
          </w:p>
        </w:tc>
        <w:tc>
          <w:tcPr>
            <w:tcW w:type="dxa" w:w="3033"/>
          </w:tcPr>
          <w:p>
            <w:r>
              <w:rPr>
                <w:b/>
              </w:rPr>
              <w:t>Notes</w:t>
            </w:r>
          </w:p>
        </w:tc>
      </w:tr>
      <w:tr>
        <w:tc>
          <w:tcPr>
            <w:tcW w:type="dxa" w:w="3033"/>
          </w:tcPr>
          <w:p>
            <w:r>
              <w:t>Configuration Item</w:t>
            </w:r>
          </w:p>
        </w:tc>
        <w:tc>
          <w:tcPr>
            <w:tcW w:type="dxa" w:w="3033"/>
          </w:tcPr>
          <w:p>
            <w:r>
              <w:t>EMP_CON – Employment Contract</w:t>
            </w:r>
          </w:p>
        </w:tc>
        <w:tc>
          <w:tcPr>
            <w:tcW w:type="dxa" w:w="3033"/>
          </w:tcPr>
          <w:p>
            <w:r>
              <w:t>Core contract for all hires; attached on Hire event; required for US, Canada, Mexico. Retention: Indefinite. Security: HR_Admin, Payroll_Processor.</w:t>
            </w:r>
          </w:p>
        </w:tc>
      </w:tr>
      <w:tr>
        <w:tc>
          <w:tcPr>
            <w:tcW w:type="dxa" w:w="3033"/>
          </w:tcPr>
          <w:p>
            <w:r>
              <w:t>Configuration Item</w:t>
            </w:r>
          </w:p>
        </w:tc>
        <w:tc>
          <w:tcPr>
            <w:tcW w:type="dxa" w:w="3033"/>
          </w:tcPr>
          <w:p>
            <w:r>
              <w:t>CRE_CERT – Credentialing Certificate</w:t>
            </w:r>
          </w:p>
        </w:tc>
        <w:tc>
          <w:tcPr>
            <w:tcW w:type="dxa" w:w="3033"/>
          </w:tcPr>
          <w:p>
            <w:r>
              <w:t>Clinical credentialing document from Symplr; attached on Credentialing Update event; expiration alerts 30 days before expiry. Security: Credentialing_Team, HR_Admin.</w:t>
            </w:r>
          </w:p>
        </w:tc>
      </w:tr>
      <w:tr>
        <w:tc>
          <w:tcPr>
            <w:tcW w:type="dxa" w:w="3033"/>
          </w:tcPr>
          <w:p>
            <w:r>
              <w:t>Configuration Item</w:t>
            </w:r>
          </w:p>
        </w:tc>
        <w:tc>
          <w:tcPr>
            <w:tcW w:type="dxa" w:w="3033"/>
          </w:tcPr>
          <w:p>
            <w:r>
              <w:t>BEN_ELE – Benefit Election Form</w:t>
            </w:r>
          </w:p>
        </w:tc>
        <w:tc>
          <w:tcPr>
            <w:tcW w:type="dxa" w:w="3033"/>
          </w:tcPr>
          <w:p>
            <w:r>
              <w:t>Benefit enrollment document; attached on Hire and Benefit Change events; retention 7 years per local regulations. Security: HR_Admin, Payroll_Processor.</w:t>
            </w:r>
          </w:p>
        </w:tc>
      </w:tr>
      <w:tr>
        <w:tc>
          <w:tcPr>
            <w:tcW w:type="dxa" w:w="3033"/>
          </w:tcPr>
          <w:p>
            <w:r>
              <w:t>Configuration Item</w:t>
            </w:r>
          </w:p>
        </w:tc>
        <w:tc>
          <w:tcPr>
            <w:tcW w:type="dxa" w:w="3033"/>
          </w:tcPr>
          <w:p>
            <w:r>
              <w:t>UNI_AGR – Union Agreement</w:t>
            </w:r>
          </w:p>
        </w:tc>
        <w:tc>
          <w:tcPr>
            <w:tcW w:type="dxa" w:w="3033"/>
          </w:tcPr>
          <w:p>
            <w:r>
              <w:t>Collective bargaining agreement for unionized workforce; attached on Hire and Transfer; retention 10 years. Security: HR_Admin, Union_Rep_Group.</w:t>
            </w:r>
          </w:p>
        </w:tc>
      </w:tr>
      <w:tr>
        <w:tc>
          <w:tcPr>
            <w:tcW w:type="dxa" w:w="3033"/>
          </w:tcPr>
          <w:p>
            <w:r>
              <w:t>Configuration Item</w:t>
            </w:r>
          </w:p>
        </w:tc>
        <w:tc>
          <w:tcPr>
            <w:tcW w:type="dxa" w:w="3033"/>
          </w:tcPr>
          <w:p>
            <w:r>
              <w:t>IMM_VISA – Immigration Visa/Work Permit</w:t>
            </w:r>
          </w:p>
        </w:tc>
        <w:tc>
          <w:tcPr>
            <w:tcW w:type="dxa" w:w="3033"/>
          </w:tcPr>
          <w:p>
            <w:r>
              <w:t>Visa documentation for non‑citizen employees; attached on Hire and Transfer; expiration alerts 60 days prior. Security: HR_Admin, Payroll_Processor.</w:t>
            </w:r>
          </w:p>
        </w:tc>
      </w:tr>
      <w:tr>
        <w:tc>
          <w:tcPr>
            <w:tcW w:type="dxa" w:w="3033"/>
          </w:tcPr>
          <w:p>
            <w:r>
              <w:t>Configuration Item</w:t>
            </w:r>
          </w:p>
        </w:tc>
        <w:tc>
          <w:tcPr>
            <w:tcW w:type="dxa" w:w="3033"/>
          </w:tcPr>
          <w:p>
            <w:r>
              <w:t>EDU_DEG – Education/Degree Certificate</w:t>
            </w:r>
          </w:p>
        </w:tc>
        <w:tc>
          <w:tcPr>
            <w:tcW w:type="dxa" w:w="3033"/>
          </w:tcPr>
          <w:p>
            <w:r>
              <w:t>Required for clinical staff; attached on Credentialing Update; retention Indefinite. Security: Credentialing_Team.</w:t>
            </w:r>
          </w:p>
        </w:tc>
      </w:tr>
      <w:tr>
        <w:tc>
          <w:tcPr>
            <w:tcW w:type="dxa" w:w="3033"/>
          </w:tcPr>
          <w:p>
            <w:r>
              <w:t>Configuration Item</w:t>
            </w:r>
          </w:p>
        </w:tc>
        <w:tc>
          <w:tcPr>
            <w:tcW w:type="dxa" w:w="3033"/>
          </w:tcPr>
          <w:p>
            <w:r>
              <w:t>POL_ACK – Policy Acknowledgement</w:t>
            </w:r>
          </w:p>
        </w:tc>
        <w:tc>
          <w:tcPr>
            <w:tcW w:type="dxa" w:w="3033"/>
          </w:tcPr>
          <w:p>
            <w:r>
              <w:t>Signed acknowledgment of corporate policies (HIPAA, Safety); attached on Hire; retention 5 years. Security: HR_Admin.</w:t>
            </w:r>
          </w:p>
        </w:tc>
      </w:tr>
      <w:tr>
        <w:tc>
          <w:tcPr>
            <w:tcW w:type="dxa" w:w="3033"/>
          </w:tcPr>
          <w:p>
            <w:r>
              <w:t>Configuration Item</w:t>
            </w:r>
          </w:p>
        </w:tc>
        <w:tc>
          <w:tcPr>
            <w:tcW w:type="dxa" w:w="3033"/>
          </w:tcPr>
          <w:p>
            <w:r>
              <w:t>ES_DOC – Spanish Translation of Document</w:t>
            </w:r>
          </w:p>
        </w:tc>
        <w:tc>
          <w:tcPr>
            <w:tcW w:type="dxa" w:w="3033"/>
          </w:tcPr>
          <w:p>
            <w:r>
              <w:t>Localized version of any document; created as a sub‑type under the parent document type for Spanish‑speaking employees (Mexico, US Spanish). Security inherits from parent.</w:t>
            </w:r>
          </w:p>
        </w:tc>
      </w:tr>
      <w:tr>
        <w:tc>
          <w:tcPr>
            <w:tcW w:type="dxa" w:w="3033"/>
          </w:tcPr>
          <w:p>
            <w:r>
              <w:t>Configuration Item</w:t>
            </w:r>
          </w:p>
        </w:tc>
        <w:tc>
          <w:tcPr>
            <w:tcW w:type="dxa" w:w="3033"/>
          </w:tcPr>
          <w:p>
            <w:r>
              <w:t>FR_DOC – French‑Canadian Translation of Document</w:t>
            </w:r>
          </w:p>
        </w:tc>
        <w:tc>
          <w:tcPr>
            <w:tcW w:type="dxa" w:w="3033"/>
          </w:tcPr>
          <w:p>
            <w:r>
              <w:t>Localized version for French‑speaking employees in Canada; sub‑type under parent document type. Security inherits from parent.</w:t>
            </w:r>
          </w:p>
        </w:tc>
      </w:tr>
    </w:tbl>
    <w:p>
      <w:r>
        <w:rPr>
          <w:b/>
        </w:rPr>
        <w:t xml:space="preserve">Configuration Notes: </w:t>
      </w:r>
      <w:r>
        <w:t>1. Navigate to **Setup and Maintenance** → **Task: Manage Document Types**.</w:t>
        <w:br/>
        <w:t>2. Click **Create** and select **Parent Document Type** = *Employee Master Document*.</w:t>
        <w:br/>
        <w:t>3. Define the following document types (see table_data) with the indicated attributes:</w:t>
        <w:br/>
        <w:t xml:space="preserve">   - **Document Type Code** – unique 3‑letter code.</w:t>
        <w:br/>
        <w:t xml:space="preserve">   - **Display Name** – entered in English; add translations via the **Translations** tab (Spanish, French‑Canadian).</w:t>
        <w:br/>
        <w:t xml:space="preserve">   - **Attachment Rule** – select the HR event(s) (Hire, Transfer, Termination, Promotion, Credentialing Update).</w:t>
        <w:br/>
        <w:t xml:space="preserve">   - **Security Profile** – assign to pre‑created security groups (HR_Admin, Payroll_Processor, Credentialing_Team).</w:t>
        <w:br/>
        <w:t xml:space="preserve">   - **Retention Policy** – set number of years or “Indefinite” based on compliance.</w:t>
        <w:br/>
        <w:t>4. After saving each type, use **Manage Document Type Hierarchy** to nest country‑specific sub‑types under the global parent.</w:t>
        <w:br/>
        <w:t>5. Run **Validate Document Types** to ensure no duplicate codes and that all required translations are present.</w:t>
        <w:br/>
        <w:t>6. Activate the configuration by setting **Document Types – Status** = *Active*.</w:t>
        <w:br/>
        <w:t>7. Test attachment via a pilot hire in each legal entity and verify UI language display and security enforcement.</w:t>
        <w:br/>
        <w:t>8. Document the configuration in the implementation repository and include the change set in the OIC integration payload for document metadata exchange with Symplr and Epic.</w:t>
      </w:r>
    </w:p>
    <w:p>
      <w:r>
        <w:br w:type="page"/>
      </w:r>
    </w:p>
    <w:p>
      <w:pPr>
        <w:pStyle w:val="Heading1"/>
      </w:pPr>
      <w:r>
        <w:t>4. Process Flows</w:t>
      </w:r>
    </w:p>
    <w:p>
      <w:pPr>
        <w:pStyle w:val="Heading2"/>
      </w:pPr>
      <w:r>
        <w:t>4.1.1 New Worker – Pending Worker</w:t>
      </w:r>
    </w:p>
    <w:p>
      <w:r>
        <w:t>Module: Core HR  |  Oracle Transaction: Add Pending Worker</w:t>
      </w:r>
    </w:p>
    <w:p>
      <w:r>
        <w:t>Trigger: HR Recruiter submits a new hire requisition and selects “Create Pending Worker” from the HCM Experience Design Studio UI.</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Recruiter (Recruiting Role)</w:t>
            </w:r>
          </w:p>
        </w:tc>
        <w:tc>
          <w:tcPr>
            <w:tcW w:type="dxa" w:w="1516"/>
          </w:tcPr>
          <w:p>
            <w:r>
              <w:t>Enter worker personal data (name, DOB, SSN/NIN), select Legal Entity, Business Unit, and Person Type; click **Add Pending Worker**.</w:t>
            </w:r>
          </w:p>
        </w:tc>
        <w:tc>
          <w:tcPr>
            <w:tcW w:type="dxa" w:w="1516"/>
          </w:tcPr>
          <w:p>
            <w:r>
              <w:t>Oracle HCM (HCM Experience Design Studio)</w:t>
            </w:r>
          </w:p>
        </w:tc>
        <w:tc>
          <w:tcPr>
            <w:tcW w:type="dxa" w:w="1516"/>
          </w:tcPr>
          <w:p>
            <w:r>
              <w:t>A Pending Worker record is created with status **Pending** and a temporary Global Person Number (GPN) is assigned.</w:t>
            </w:r>
          </w:p>
        </w:tc>
        <w:tc>
          <w:tcPr>
            <w:tcW w:type="dxa" w:w="1516"/>
          </w:tcPr>
          <w:p>
            <w:r>
              <w:t xml:space="preserve">Configuration: **Setup and Maintenance &gt; Workforce Structures &gt; Manage Person Number Generation** – ensure “Pending Worker” prefix and sequence are defined.  </w:t>
              <w:br/>
              <w:t>Configuration: **Setup and Maintenance &gt; Workforce Structures &gt; Manage Person Types** – map Person Type to Legal Entity and Business Unit.</w:t>
            </w:r>
          </w:p>
        </w:tc>
      </w:tr>
      <w:tr>
        <w:tc>
          <w:tcPr>
            <w:tcW w:type="dxa" w:w="1516"/>
          </w:tcPr>
          <w:p>
            <w:r>
              <w:t>2</w:t>
            </w:r>
          </w:p>
        </w:tc>
        <w:tc>
          <w:tcPr>
            <w:tcW w:type="dxa" w:w="1516"/>
          </w:tcPr>
          <w:p>
            <w:r>
              <w:t>System (Fusion Core HR)</w:t>
            </w:r>
          </w:p>
        </w:tc>
        <w:tc>
          <w:tcPr>
            <w:tcW w:type="dxa" w:w="1516"/>
          </w:tcPr>
          <w:p>
            <w:r>
              <w:t>Validate mandatory fields, enforce country‑specific data rules (e.g., Canada SIN format, Mexico CURP), and apply bilingual UI labels based on user language preference.</w:t>
            </w:r>
          </w:p>
        </w:tc>
        <w:tc>
          <w:tcPr>
            <w:tcW w:type="dxa" w:w="1516"/>
          </w:tcPr>
          <w:p>
            <w:r>
              <w:t>Oracle HCM</w:t>
            </w:r>
          </w:p>
        </w:tc>
        <w:tc>
          <w:tcPr>
            <w:tcW w:type="dxa" w:w="1516"/>
          </w:tcPr>
          <w:p>
            <w:r>
              <w:t>If validation passes, the record moves to **Pending Approval**; otherwise, error messages are displayed in the user’s language.</w:t>
            </w:r>
          </w:p>
        </w:tc>
        <w:tc>
          <w:tcPr>
            <w:tcW w:type="dxa" w:w="1516"/>
          </w:tcPr>
          <w:p>
            <w:r>
              <w:t xml:space="preserve">Configuration: **Setup and Maintenance &gt; Workforce Structures &gt; Manage Person Types – Assign to Legal Entity/Business Unit** for country‑specific validation rules.  </w:t>
              <w:br/>
              <w:t>UI Localization: **Setup and Maintenance &gt; Globalization &gt; Manage Languages** – enable EN, ES, FR‑CA.</w:t>
            </w:r>
          </w:p>
        </w:tc>
      </w:tr>
      <w:tr>
        <w:tc>
          <w:tcPr>
            <w:tcW w:type="dxa" w:w="1516"/>
          </w:tcPr>
          <w:p>
            <w:r>
              <w:t>3</w:t>
            </w:r>
          </w:p>
        </w:tc>
        <w:tc>
          <w:tcPr>
            <w:tcW w:type="dxa" w:w="1516"/>
          </w:tcPr>
          <w:p>
            <w:r>
              <w:t>HR Manager (Hiring Manager)</w:t>
            </w:r>
          </w:p>
        </w:tc>
        <w:tc>
          <w:tcPr>
            <w:tcW w:type="dxa" w:w="1516"/>
          </w:tcPr>
          <w:p>
            <w:r>
              <w:t>Review pending worker details, attach required documents (e.g., credentialing consent, union membership), and submit for approval.</w:t>
            </w:r>
          </w:p>
        </w:tc>
        <w:tc>
          <w:tcPr>
            <w:tcW w:type="dxa" w:w="1516"/>
          </w:tcPr>
          <w:p>
            <w:r>
              <w:t>Oracle HCM (Task Flow – Approve Pending Worker)</w:t>
            </w:r>
          </w:p>
        </w:tc>
        <w:tc>
          <w:tcPr>
            <w:tcW w:type="dxa" w:w="1516"/>
          </w:tcPr>
          <w:p>
            <w:r>
              <w:t>Pending Worker status changes to **Awaiting Approvals** and an approval task is generated in the workflow engine.</w:t>
            </w:r>
          </w:p>
        </w:tc>
        <w:tc>
          <w:tcPr>
            <w:tcW w:type="dxa" w:w="1516"/>
          </w:tcPr>
          <w:p>
            <w:r>
              <w:t>Workflow configuration: **Setup and Maintenance &gt; Workflow &gt; Manage Workflow Definitions** – use the “Pending Worker Approval” definition with multi‑level routing (HR Manager → Business Unit Head → Legal Entity HR).</w:t>
            </w:r>
          </w:p>
        </w:tc>
      </w:tr>
      <w:tr>
        <w:tc>
          <w:tcPr>
            <w:tcW w:type="dxa" w:w="1516"/>
          </w:tcPr>
          <w:p>
            <w:r>
              <w:t>4</w:t>
            </w:r>
          </w:p>
        </w:tc>
        <w:tc>
          <w:tcPr>
            <w:tcW w:type="dxa" w:w="1516"/>
          </w:tcPr>
          <w:p>
            <w:r>
              <w:t>Business Unit Head</w:t>
            </w:r>
          </w:p>
        </w:tc>
        <w:tc>
          <w:tcPr>
            <w:tcW w:type="dxa" w:w="1516"/>
          </w:tcPr>
          <w:p>
            <w:r>
              <w:t>Approve or reject the pending worker. If approved, add any Business Unit‑specific compensation grade.</w:t>
            </w:r>
          </w:p>
        </w:tc>
        <w:tc>
          <w:tcPr>
            <w:tcW w:type="dxa" w:w="1516"/>
          </w:tcPr>
          <w:p>
            <w:r>
              <w:t>Oracle HCM</w:t>
            </w:r>
          </w:p>
        </w:tc>
        <w:tc>
          <w:tcPr>
            <w:tcW w:type="dxa" w:w="1516"/>
          </w:tcPr>
          <w:p>
            <w:r>
              <w:t>On approval, status updates to **Approved – Ready for Hire**; on rejection, status reverts to **Rejected** with audit trail.</w:t>
            </w:r>
          </w:p>
        </w:tc>
        <w:tc>
          <w:tcPr>
            <w:tcW w:type="dxa" w:w="1516"/>
          </w:tcPr>
          <w:p>
            <w:r>
              <w:t>Approval routing is driven by **Setup and Maintenance &gt; Workflow &gt; Manage Workflow Definitions** – ensure “Business Unit Head” role is mapped to the appropriate Business Unit.</w:t>
            </w:r>
          </w:p>
        </w:tc>
      </w:tr>
      <w:tr>
        <w:tc>
          <w:tcPr>
            <w:tcW w:type="dxa" w:w="1516"/>
          </w:tcPr>
          <w:p>
            <w:r>
              <w:t>5</w:t>
            </w:r>
          </w:p>
        </w:tc>
        <w:tc>
          <w:tcPr>
            <w:tcW w:type="dxa" w:w="1516"/>
          </w:tcPr>
          <w:p>
            <w:r>
              <w:t>Legal Entity HR (Country HR)</w:t>
            </w:r>
          </w:p>
        </w:tc>
        <w:tc>
          <w:tcPr>
            <w:tcW w:type="dxa" w:w="1516"/>
          </w:tcPr>
          <w:p>
            <w:r>
              <w:t>Validate compliance (e.g., credentialing status from Symplr, immigration work‑permit) and confirm union eligibility.</w:t>
            </w:r>
          </w:p>
        </w:tc>
        <w:tc>
          <w:tcPr>
            <w:tcW w:type="dxa" w:w="1516"/>
          </w:tcPr>
          <w:p>
            <w:r>
              <w:t>Oracle HCM + OIC Integration to Symplr</w:t>
            </w:r>
          </w:p>
        </w:tc>
        <w:tc>
          <w:tcPr>
            <w:tcW w:type="dxa" w:w="1516"/>
          </w:tcPr>
          <w:p>
            <w:r>
              <w:t>If compliance checks pass, the worker is flagged **Credentialed = Yes**; otherwise, a compliance exception is raised.</w:t>
            </w:r>
          </w:p>
        </w:tc>
        <w:tc>
          <w:tcPr>
            <w:tcW w:type="dxa" w:w="1516"/>
          </w:tcPr>
          <w:p>
            <w:r>
              <w:t xml:space="preserve">Integration configuration: **Integration Cloud Service &gt; Manage Integrations &gt; Create Integration – Symplr Credentialing Status** – event‑driven (on Pending Worker approval).  </w:t>
              <w:br/>
              <w:t>Compliance rule set: **Setup and Maintenance &gt; Workforce Structures &gt; Manage Person Types – Assign Credentialing Flag**.</w:t>
            </w:r>
          </w:p>
        </w:tc>
      </w:tr>
      <w:tr>
        <w:tc>
          <w:tcPr>
            <w:tcW w:type="dxa" w:w="1516"/>
          </w:tcPr>
          <w:p>
            <w:r>
              <w:t>6</w:t>
            </w:r>
          </w:p>
        </w:tc>
        <w:tc>
          <w:tcPr>
            <w:tcW w:type="dxa" w:w="1516"/>
          </w:tcPr>
          <w:p>
            <w:r>
              <w:t>OIC Orchestration</w:t>
            </w:r>
          </w:p>
        </w:tc>
        <w:tc>
          <w:tcPr>
            <w:tcW w:type="dxa" w:w="1516"/>
          </w:tcPr>
          <w:p>
            <w:r>
              <w:t>Publish **Hire Event** to downstream systems (ADP US, Ceridian Canada, Benefitfocus, Epic Scheduling) with the new Global Person Number and credentialing flag.</w:t>
            </w:r>
          </w:p>
        </w:tc>
        <w:tc>
          <w:tcPr>
            <w:tcW w:type="dxa" w:w="1516"/>
          </w:tcPr>
          <w:p>
            <w:r>
              <w:t>Oracle Integration Cloud (OIC)</w:t>
            </w:r>
          </w:p>
        </w:tc>
        <w:tc>
          <w:tcPr>
            <w:tcW w:type="dxa" w:w="1516"/>
          </w:tcPr>
          <w:p>
            <w:r>
              <w:t>All downstream systems receive a **Hire** message; payroll providers create employee payroll records, IT provisioning creates network accounts, Epic receives credentialing status for scheduling.</w:t>
            </w:r>
          </w:p>
        </w:tc>
        <w:tc>
          <w:tcPr>
            <w:tcW w:type="dxa" w:w="1516"/>
          </w:tcPr>
          <w:p>
            <w:r>
              <w:t>Integration design: **Integration Cloud Service &gt; Manage Integrations &gt; Create Integration – Hire Event** – use **Fusion HCM Adapter** (Add Pending Worker) as trigger and **REST/FTP adapters** for external systems.</w:t>
            </w:r>
          </w:p>
        </w:tc>
      </w:tr>
      <w:tr>
        <w:tc>
          <w:tcPr>
            <w:tcW w:type="dxa" w:w="1516"/>
          </w:tcPr>
          <w:p>
            <w:r>
              <w:t>7</w:t>
            </w:r>
          </w:p>
        </w:tc>
        <w:tc>
          <w:tcPr>
            <w:tcW w:type="dxa" w:w="1516"/>
          </w:tcPr>
          <w:p>
            <w:r>
              <w:t>System (Fusion Core HR)</w:t>
            </w:r>
          </w:p>
        </w:tc>
        <w:tc>
          <w:tcPr>
            <w:tcW w:type="dxa" w:w="1516"/>
          </w:tcPr>
          <w:p>
            <w:r>
              <w:t>Convert Pending Worker to **Active Worker**; generate final Global Person Number (if different), assign Person Number to employee record, and activate employment dates.</w:t>
            </w:r>
          </w:p>
        </w:tc>
        <w:tc>
          <w:tcPr>
            <w:tcW w:type="dxa" w:w="1516"/>
          </w:tcPr>
          <w:p>
            <w:r>
              <w:t>Oracle HCM</w:t>
            </w:r>
          </w:p>
        </w:tc>
        <w:tc>
          <w:tcPr>
            <w:tcW w:type="dxa" w:w="1516"/>
          </w:tcPr>
          <w:p>
            <w:r>
              <w:t>Worker status changes to **Active**, employee master data is now the golden record for all downstream processes.</w:t>
            </w:r>
          </w:p>
        </w:tc>
        <w:tc>
          <w:tcPr>
            <w:tcW w:type="dxa" w:w="1516"/>
          </w:tcPr>
          <w:p>
            <w:r>
              <w:t>Configuration: **Setup and Maintenance &gt; Workforce Structures &gt; Manage Person Types – Assign to Person Number Generation** – ensure final GPN is generated only after all approvals.</w:t>
            </w:r>
          </w:p>
        </w:tc>
      </w:tr>
      <w:tr>
        <w:tc>
          <w:tcPr>
            <w:tcW w:type="dxa" w:w="1516"/>
          </w:tcPr>
          <w:p>
            <w:r>
              <w:t>8</w:t>
            </w:r>
          </w:p>
        </w:tc>
        <w:tc>
          <w:tcPr>
            <w:tcW w:type="dxa" w:w="1516"/>
          </w:tcPr>
          <w:p>
            <w:r>
              <w:t>HR Recruiter</w:t>
            </w:r>
          </w:p>
        </w:tc>
        <w:tc>
          <w:tcPr>
            <w:tcW w:type="dxa" w:w="1516"/>
          </w:tcPr>
          <w:p>
            <w:r>
              <w:t>Send welcome email with onboarding portal link (localized per language) and required forms.</w:t>
            </w:r>
          </w:p>
        </w:tc>
        <w:tc>
          <w:tcPr>
            <w:tcW w:type="dxa" w:w="1516"/>
          </w:tcPr>
          <w:p>
            <w:r>
              <w:t>Email (Oracle Notification Service)</w:t>
            </w:r>
          </w:p>
        </w:tc>
        <w:tc>
          <w:tcPr>
            <w:tcW w:type="dxa" w:w="1516"/>
          </w:tcPr>
          <w:p>
            <w:r>
              <w:t>New hire receives onboarding instructions in EN/ES/FR‑CA; onboarding tasks are auto‑populated in HCM Experience Design Studio.</w:t>
            </w:r>
          </w:p>
        </w:tc>
        <w:tc>
          <w:tcPr>
            <w:tcW w:type="dxa" w:w="1516"/>
          </w:tcPr>
          <w:p>
            <w:r>
              <w:t>Notification template configuration: **Setup and Maintenance &gt; Notifications &gt; Manage Notification Templates** – create language‑specific templates.</w:t>
            </w:r>
          </w:p>
        </w:tc>
      </w:tr>
    </w:tbl>
    <w:p>
      <w:r>
        <w:rPr>
          <w:b/>
        </w:rPr>
        <w:t xml:space="preserve">Approval Required: </w:t>
      </w:r>
      <w:r>
        <w:t>HR Recruiter (initiator), HR Manager (Hiring Manager), Business Unit Head, Legal Entity HR (Country HR), Compliance Officer (Credentialing Review – optional based on Person Type)</w:t>
      </w:r>
    </w:p>
    <w:p>
      <w:r>
        <w:t xml:space="preserve">Notes: • All person‑type mappings must be pre‑loaded via **HDL – HCM Data Loader** for bulk legacy data migration.  </w:t>
        <w:br/>
        <w:t xml:space="preserve">• Bilingual UI is governed by **Setup and Maintenance &gt; Globalization &gt; Manage Languages** and **Manage Translations** – ensure all field labels, help text, and error messages are translated.  </w:t>
        <w:br/>
        <w:t xml:space="preserve">• For unionized staff, the **Union Affiliation** attribute is captured in the Pending Worker form and routed to the Union Representative approver (configured in the workflow definition).  </w:t>
        <w:br/>
        <w:t>• Event‑driven OIC integrations use the **Fusion HCM Adapter – Add Pending Worker** as the source; ensure the integration is enabled in **Setup and Maintenance &gt; Integration &gt; Manage Integration Services**.</w:t>
      </w:r>
    </w:p>
    <w:p>
      <w:pPr>
        <w:pStyle w:val="Heading2"/>
      </w:pPr>
      <w:r>
        <w:t>4.1.2 Convert Pending Worker</w:t>
      </w:r>
    </w:p>
    <w:p>
      <w:r>
        <w:t>Module: Core HR  |  Oracle Transaction: Convert Pending Worker</w:t>
      </w:r>
    </w:p>
    <w:p>
      <w:r>
        <w:t>Trigger: HR Recruiter clicks **Convert** on a Pending Worker record after all pre‑hire documentation and credentialing checks are completed.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Recruiter</w:t>
            </w:r>
          </w:p>
        </w:tc>
        <w:tc>
          <w:tcPr>
            <w:tcW w:type="dxa" w:w="1516"/>
          </w:tcPr>
          <w:p>
            <w:r>
              <w:t>Validate that the Pending Worker has a completed **Credentialing Status** (Symplr) and required onboarding documents attached.</w:t>
            </w:r>
          </w:p>
        </w:tc>
        <w:tc>
          <w:tcPr>
            <w:tcW w:type="dxa" w:w="1516"/>
          </w:tcPr>
          <w:p>
            <w:r>
              <w:t>Oracle HCM (Core HR) | Symplr (External)</w:t>
            </w:r>
          </w:p>
        </w:tc>
        <w:tc>
          <w:tcPr>
            <w:tcW w:type="dxa" w:w="1516"/>
          </w:tcPr>
          <w:p>
            <w:r>
              <w:t>Pending Worker record is marked **Ready for Conversion**.</w:t>
            </w:r>
          </w:p>
        </w:tc>
        <w:tc>
          <w:tcPr>
            <w:tcW w:type="dxa" w:w="1516"/>
          </w:tcPr>
          <w:p>
            <w:r>
              <w:t>Configuration: Setup and Maintenance &gt; Workforce Administration &gt; Manage Credentialing Integration (Symplr) – enable real‑time status flag on Person.</w:t>
            </w:r>
          </w:p>
        </w:tc>
      </w:tr>
      <w:tr>
        <w:tc>
          <w:tcPr>
            <w:tcW w:type="dxa" w:w="1516"/>
          </w:tcPr>
          <w:p>
            <w:r>
              <w:t>2</w:t>
            </w:r>
          </w:p>
        </w:tc>
        <w:tc>
          <w:tcPr>
            <w:tcW w:type="dxa" w:w="1516"/>
          </w:tcPr>
          <w:p>
            <w:r>
              <w:t>HR Recruiter</w:t>
            </w:r>
          </w:p>
        </w:tc>
        <w:tc>
          <w:tcPr>
            <w:tcW w:type="dxa" w:w="1516"/>
          </w:tcPr>
          <w:p>
            <w:r>
              <w:t>Select **Convert** button; system prompts for **Effective Date**, **Business Unit**, **Legal Entity**, and **Primary Assignment** details.</w:t>
            </w:r>
          </w:p>
        </w:tc>
        <w:tc>
          <w:tcPr>
            <w:tcW w:type="dxa" w:w="1516"/>
          </w:tcPr>
          <w:p>
            <w:r>
              <w:t>Oracle HCM (Core HR)</w:t>
            </w:r>
          </w:p>
        </w:tc>
        <w:tc>
          <w:tcPr>
            <w:tcW w:type="dxa" w:w="1516"/>
          </w:tcPr>
          <w:p>
            <w:r>
              <w:t>Conversion request is created and routed to the configured approval workflow.</w:t>
            </w:r>
          </w:p>
        </w:tc>
        <w:tc>
          <w:tcPr>
            <w:tcW w:type="dxa" w:w="1516"/>
          </w:tcPr>
          <w:p>
            <w:r>
              <w:t>Configuration: Setup and Maintenance &gt; Workforce Structures &gt; Manage Business Units &amp; Legal Entities – ensure BU/LE hierarchy is active for the employee’s location.</w:t>
            </w:r>
          </w:p>
        </w:tc>
      </w:tr>
      <w:tr>
        <w:tc>
          <w:tcPr>
            <w:tcW w:type="dxa" w:w="1516"/>
          </w:tcPr>
          <w:p>
            <w:r>
              <w:t>3</w:t>
            </w:r>
          </w:p>
        </w:tc>
        <w:tc>
          <w:tcPr>
            <w:tcW w:type="dxa" w:w="1516"/>
          </w:tcPr>
          <w:p>
            <w:r>
              <w:t>HR Manager (BU)</w:t>
            </w:r>
          </w:p>
        </w:tc>
        <w:tc>
          <w:tcPr>
            <w:tcW w:type="dxa" w:w="1516"/>
          </w:tcPr>
          <w:p>
            <w:r>
              <w:t>Review conversion request, verify assignment details, and approve or reject.</w:t>
            </w:r>
          </w:p>
        </w:tc>
        <w:tc>
          <w:tcPr>
            <w:tcW w:type="dxa" w:w="1516"/>
          </w:tcPr>
          <w:p>
            <w:r>
              <w:t>Oracle HCM (Workflow)</w:t>
            </w:r>
          </w:p>
        </w:tc>
        <w:tc>
          <w:tcPr>
            <w:tcW w:type="dxa" w:w="1516"/>
          </w:tcPr>
          <w:p>
            <w:r>
              <w:t>If approved, request moves to **Compensation Approver**; if rejected, status returns to Recruiter with comments.</w:t>
            </w:r>
          </w:p>
        </w:tc>
        <w:tc>
          <w:tcPr>
            <w:tcW w:type="dxa" w:w="1516"/>
          </w:tcPr>
          <w:p>
            <w:r>
              <w:t>Workflow configuration: Setup and Maintenance &gt; Workflow &gt; Manage Workflow Definitions – use **WF-ConvertPendingWorker** with multi‑level approvers.</w:t>
            </w:r>
          </w:p>
        </w:tc>
      </w:tr>
      <w:tr>
        <w:tc>
          <w:tcPr>
            <w:tcW w:type="dxa" w:w="1516"/>
          </w:tcPr>
          <w:p>
            <w:r>
              <w:t>4</w:t>
            </w:r>
          </w:p>
        </w:tc>
        <w:tc>
          <w:tcPr>
            <w:tcW w:type="dxa" w:w="1516"/>
          </w:tcPr>
          <w:p>
            <w:r>
              <w:t>Compensation Approver</w:t>
            </w:r>
          </w:p>
        </w:tc>
        <w:tc>
          <w:tcPr>
            <w:tcW w:type="dxa" w:w="1516"/>
          </w:tcPr>
          <w:p>
            <w:r>
              <w:t>Validate compensation element (grade, salary range) against **Compensation Plan** and approve.</w:t>
            </w:r>
          </w:p>
        </w:tc>
        <w:tc>
          <w:tcPr>
            <w:tcW w:type="dxa" w:w="1516"/>
          </w:tcPr>
          <w:p>
            <w:r>
              <w:t>Oracle HCM (Compensation)</w:t>
            </w:r>
          </w:p>
        </w:tc>
        <w:tc>
          <w:tcPr>
            <w:tcW w:type="dxa" w:w="1516"/>
          </w:tcPr>
          <w:p>
            <w:r>
              <w:t>Compensation data is locked for the new employee record.</w:t>
            </w:r>
          </w:p>
        </w:tc>
        <w:tc>
          <w:tcPr>
            <w:tcW w:type="dxa" w:w="1516"/>
          </w:tcPr>
          <w:p>
            <w:r>
              <w:t>Configuration: Setup and Maintenance &gt; Workforce Compensation &gt; Manage Compensation Elements – ensure element is active for the employee’s grade.</w:t>
            </w:r>
          </w:p>
        </w:tc>
      </w:tr>
      <w:tr>
        <w:tc>
          <w:tcPr>
            <w:tcW w:type="dxa" w:w="1516"/>
          </w:tcPr>
          <w:p>
            <w:r>
              <w:t>5</w:t>
            </w:r>
          </w:p>
        </w:tc>
        <w:tc>
          <w:tcPr>
            <w:tcW w:type="dxa" w:w="1516"/>
          </w:tcPr>
          <w:p>
            <w:r>
              <w:t>Payroll Integration Engine (OIC)</w:t>
            </w:r>
          </w:p>
        </w:tc>
        <w:tc>
          <w:tcPr>
            <w:tcW w:type="dxa" w:w="1516"/>
          </w:tcPr>
          <w:p>
            <w:r>
              <w:t>Consume **Convert Pending Worker** event (HCM Integration – Workforce) and push employee master data to the appropriate payroll provider (ADP US or Ceridian Canada).</w:t>
            </w:r>
          </w:p>
        </w:tc>
        <w:tc>
          <w:tcPr>
            <w:tcW w:type="dxa" w:w="1516"/>
          </w:tcPr>
          <w:p>
            <w:r>
              <w:t>Oracle Integration Cloud (OIC) | ADP / Ceridian</w:t>
            </w:r>
          </w:p>
        </w:tc>
        <w:tc>
          <w:tcPr>
            <w:tcW w:type="dxa" w:w="1516"/>
          </w:tcPr>
          <w:p>
            <w:r>
              <w:t>Payroll provider receives **Hire** transaction with global person number, legal entity, and compensation details.</w:t>
            </w:r>
          </w:p>
        </w:tc>
        <w:tc>
          <w:tcPr>
            <w:tcW w:type="dxa" w:w="1516"/>
          </w:tcPr>
          <w:p>
            <w:r>
              <w:t>Configuration: Setup and Maintenance &gt; Integration &gt; Manage OIC Integrations – map **HCM_WORKFORCE_EVENT** to payroll inbound interface.</w:t>
            </w:r>
          </w:p>
        </w:tc>
      </w:tr>
      <w:tr>
        <w:tc>
          <w:tcPr>
            <w:tcW w:type="dxa" w:w="1516"/>
          </w:tcPr>
          <w:p>
            <w:r>
              <w:t>6</w:t>
            </w:r>
          </w:p>
        </w:tc>
        <w:tc>
          <w:tcPr>
            <w:tcW w:type="dxa" w:w="1516"/>
          </w:tcPr>
          <w:p>
            <w:r>
              <w:t>IT Provisioning Service</w:t>
            </w:r>
          </w:p>
        </w:tc>
        <w:tc>
          <w:tcPr>
            <w:tcW w:type="dxa" w:w="1516"/>
          </w:tcPr>
          <w:p>
            <w:r>
              <w:t>Trigger user‑account provisioning in Active Directory and access to Epic based on **Role‑Based Access** matrix.</w:t>
            </w:r>
          </w:p>
        </w:tc>
        <w:tc>
          <w:tcPr>
            <w:tcW w:type="dxa" w:w="1516"/>
          </w:tcPr>
          <w:p>
            <w:r>
              <w:t>Oracle Integration Cloud (OIC) | Active Directory | Epic</w:t>
            </w:r>
          </w:p>
        </w:tc>
        <w:tc>
          <w:tcPr>
            <w:tcW w:type="dxa" w:w="1516"/>
          </w:tcPr>
          <w:p>
            <w:r>
              <w:t>New employee receives system credentials; Epic scheduling is enabled only if **Credentialing Status = Active**.</w:t>
            </w:r>
          </w:p>
        </w:tc>
        <w:tc>
          <w:tcPr>
            <w:tcW w:type="dxa" w:w="1516"/>
          </w:tcPr>
          <w:p>
            <w:r>
              <w:t>Configuration: Setup and Maintenance &gt; Security &gt; Manage Role‑Based Access – include **Clinical Provider** role conditional on Symplr flag.</w:t>
            </w:r>
          </w:p>
        </w:tc>
      </w:tr>
      <w:tr>
        <w:tc>
          <w:tcPr>
            <w:tcW w:type="dxa" w:w="1516"/>
          </w:tcPr>
          <w:p>
            <w:r>
              <w:t>7</w:t>
            </w:r>
          </w:p>
        </w:tc>
        <w:tc>
          <w:tcPr>
            <w:tcW w:type="dxa" w:w="1516"/>
          </w:tcPr>
          <w:p>
            <w:r>
              <w:t>Benefits Vendor (Benefitfocus)</w:t>
            </w:r>
          </w:p>
        </w:tc>
        <w:tc>
          <w:tcPr>
            <w:tcW w:type="dxa" w:w="1516"/>
          </w:tcPr>
          <w:p>
            <w:r>
              <w:t>Receive **Hire** event via OIC and enroll employee in default benefits eligibility group.</w:t>
            </w:r>
          </w:p>
        </w:tc>
        <w:tc>
          <w:tcPr>
            <w:tcW w:type="dxa" w:w="1516"/>
          </w:tcPr>
          <w:p>
            <w:r>
              <w:t>Oracle Integration Cloud (OIC) | Benefitfocus</w:t>
            </w:r>
          </w:p>
        </w:tc>
        <w:tc>
          <w:tcPr>
            <w:tcW w:type="dxa" w:w="1516"/>
          </w:tcPr>
          <w:p>
            <w:r>
              <w:t>Benefits enrollment window opens for the employee.</w:t>
            </w:r>
          </w:p>
        </w:tc>
        <w:tc>
          <w:tcPr>
            <w:tcW w:type="dxa" w:w="1516"/>
          </w:tcPr>
          <w:p>
            <w:r>
              <w:t>Configuration: Setup and Maintenance &gt; Benefits &gt; Manage Benefit Plans – define default eligibility rules per legal entity.</w:t>
            </w:r>
          </w:p>
        </w:tc>
      </w:tr>
      <w:tr>
        <w:tc>
          <w:tcPr>
            <w:tcW w:type="dxa" w:w="1516"/>
          </w:tcPr>
          <w:p>
            <w:r>
              <w:t>8</w:t>
            </w:r>
          </w:p>
        </w:tc>
        <w:tc>
          <w:tcPr>
            <w:tcW w:type="dxa" w:w="1516"/>
          </w:tcPr>
          <w:p>
            <w:r>
              <w:t>HR Recruiter</w:t>
            </w:r>
          </w:p>
        </w:tc>
        <w:tc>
          <w:tcPr>
            <w:tcW w:type="dxa" w:w="1516"/>
          </w:tcPr>
          <w:p>
            <w:r>
              <w:t>Confirm conversion completion; system updates **Person** record status to **Active** and generates **Employee ID** (global person number).</w:t>
            </w:r>
          </w:p>
        </w:tc>
        <w:tc>
          <w:tcPr>
            <w:tcW w:type="dxa" w:w="1516"/>
          </w:tcPr>
          <w:p>
            <w:r>
              <w:t>Oracle HCM (Core HR)</w:t>
            </w:r>
          </w:p>
        </w:tc>
        <w:tc>
          <w:tcPr>
            <w:tcW w:type="dxa" w:w="1516"/>
          </w:tcPr>
          <w:p>
            <w:r>
              <w:t>Employee appears in all downstream modules (Compensation, Benefits, Time &amp; Labor) as an active worker.</w:t>
            </w:r>
          </w:p>
        </w:tc>
        <w:tc>
          <w:tcPr>
            <w:tcW w:type="dxa" w:w="1516"/>
          </w:tcPr>
          <w:p>
            <w:r>
              <w:t>Configuration: Setup and Maintenance &gt; Workforce Administration &gt; Manage Pending Worker Conversions – enable **Auto‑Generate Global Person Number**.</w:t>
            </w:r>
          </w:p>
        </w:tc>
      </w:tr>
    </w:tbl>
    <w:p>
      <w:r>
        <w:rPr>
          <w:b/>
        </w:rPr>
        <w:t xml:space="preserve">Approval Required: </w:t>
      </w:r>
      <w:r>
        <w:t>HR Manager (Business Unit), Compensation Approver, Legal Entity Approver (if cross‑border hire), Union Representative (where applicable)</w:t>
      </w:r>
    </w:p>
    <w:p>
      <w:r>
        <w:t>Notes: All language‑specific UI labels for this transaction are maintained in **HCM Experience Design Studio** with EN, ES, and FR‑CA translations.  Ensure the **Global Person Number** generation rule is set in **Setup and Maintenance &gt; Workforce Administration &gt; Manage Global Person Numbers** to enforce a single source of truth across the merged legacy landscape.</w:t>
      </w:r>
    </w:p>
    <w:p>
      <w:pPr>
        <w:pStyle w:val="Heading2"/>
      </w:pPr>
      <w:r>
        <w:t>4.1.3 Hire Employee</w:t>
      </w:r>
    </w:p>
    <w:p>
      <w:r>
        <w:t>Module: Core HR  |  Oracle Transaction: Add Worker</w:t>
      </w:r>
    </w:p>
    <w:p>
      <w:r>
        <w:t>Trigger: Hiring requisition approved and candidate accepts offer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Recruiter</w:t>
            </w:r>
          </w:p>
        </w:tc>
        <w:tc>
          <w:tcPr>
            <w:tcW w:type="dxa" w:w="1516"/>
          </w:tcPr>
          <w:p>
            <w:r>
              <w:t>Create hiring requisition using HCM Experience Design Studio (Setup and Maintenance: Manage Requisition Types)</w:t>
            </w:r>
          </w:p>
        </w:tc>
        <w:tc>
          <w:tcPr>
            <w:tcW w:type="dxa" w:w="1516"/>
          </w:tcPr>
          <w:p>
            <w:r>
              <w:t>Oracle HCM</w:t>
            </w:r>
          </w:p>
        </w:tc>
        <w:tc>
          <w:tcPr>
            <w:tcW w:type="dxa" w:w="1516"/>
          </w:tcPr>
          <w:p>
            <w:r>
              <w:t>Requisition record created with requisition number</w:t>
            </w:r>
          </w:p>
        </w:tc>
        <w:tc>
          <w:tcPr>
            <w:tcW w:type="dxa" w:w="1516"/>
          </w:tcPr>
          <w:p>
            <w:r>
              <w:t>Requisition type configured per legal entity and labor union rules</w:t>
            </w:r>
          </w:p>
        </w:tc>
      </w:tr>
      <w:tr>
        <w:tc>
          <w:tcPr>
            <w:tcW w:type="dxa" w:w="1516"/>
          </w:tcPr>
          <w:p>
            <w:r>
              <w:t>2</w:t>
            </w:r>
          </w:p>
        </w:tc>
        <w:tc>
          <w:tcPr>
            <w:tcW w:type="dxa" w:w="1516"/>
          </w:tcPr>
          <w:p>
            <w:r>
              <w:t>Hiring Manager</w:t>
            </w:r>
          </w:p>
        </w:tc>
        <w:tc>
          <w:tcPr>
            <w:tcW w:type="dxa" w:w="1516"/>
          </w:tcPr>
          <w:p>
            <w:r>
              <w:t>Approve requisition via configurable approval workflow (Setup and Maintenance: Manage Approval Rules)</w:t>
            </w:r>
          </w:p>
        </w:tc>
        <w:tc>
          <w:tcPr>
            <w:tcW w:type="dxa" w:w="1516"/>
          </w:tcPr>
          <w:p>
            <w:r>
              <w:t>Oracle HCM</w:t>
            </w:r>
          </w:p>
        </w:tc>
        <w:tc>
          <w:tcPr>
            <w:tcW w:type="dxa" w:w="1516"/>
          </w:tcPr>
          <w:p>
            <w:r>
              <w:t>Requisition status = Approved</w:t>
            </w:r>
          </w:p>
        </w:tc>
        <w:tc>
          <w:tcPr>
            <w:tcW w:type="dxa" w:w="1516"/>
          </w:tcPr>
          <w:p>
            <w:r>
              <w:t>Multi‑level approval includes Department Head and Compensation Committee for budgeted positions</w:t>
            </w:r>
          </w:p>
        </w:tc>
      </w:tr>
      <w:tr>
        <w:tc>
          <w:tcPr>
            <w:tcW w:type="dxa" w:w="1516"/>
          </w:tcPr>
          <w:p>
            <w:r>
              <w:t>3</w:t>
            </w:r>
          </w:p>
        </w:tc>
        <w:tc>
          <w:tcPr>
            <w:tcW w:type="dxa" w:w="1516"/>
          </w:tcPr>
          <w:p>
            <w:r>
              <w:t>Recruiter</w:t>
            </w:r>
          </w:p>
        </w:tc>
        <w:tc>
          <w:tcPr>
            <w:tcW w:type="dxa" w:w="1516"/>
          </w:tcPr>
          <w:p>
            <w:r>
              <w:t>Select candidate and generate offer using Offer Management (Setup and Maintenance: Manage Offer Templates)</w:t>
            </w:r>
          </w:p>
        </w:tc>
        <w:tc>
          <w:tcPr>
            <w:tcW w:type="dxa" w:w="1516"/>
          </w:tcPr>
          <w:p>
            <w:r>
              <w:t>Oracle HCM</w:t>
            </w:r>
          </w:p>
        </w:tc>
        <w:tc>
          <w:tcPr>
            <w:tcW w:type="dxa" w:w="1516"/>
          </w:tcPr>
          <w:p>
            <w:r>
              <w:t>Offer document created and routed to candidate</w:t>
            </w:r>
          </w:p>
        </w:tc>
        <w:tc>
          <w:tcPr>
            <w:tcW w:type="dxa" w:w="1516"/>
          </w:tcPr>
          <w:p>
            <w:r>
              <w:t>Offer template includes bilingual (EN/ES) and French‑Canadian language options</w:t>
            </w:r>
          </w:p>
        </w:tc>
      </w:tr>
      <w:tr>
        <w:tc>
          <w:tcPr>
            <w:tcW w:type="dxa" w:w="1516"/>
          </w:tcPr>
          <w:p>
            <w:r>
              <w:t>4</w:t>
            </w:r>
          </w:p>
        </w:tc>
        <w:tc>
          <w:tcPr>
            <w:tcW w:type="dxa" w:w="1516"/>
          </w:tcPr>
          <w:p>
            <w:r>
              <w:t>Candidate</w:t>
            </w:r>
          </w:p>
        </w:tc>
        <w:tc>
          <w:tcPr>
            <w:tcW w:type="dxa" w:w="1516"/>
          </w:tcPr>
          <w:p>
            <w:r>
              <w:t>Accept offer through self‑service portal (HCM Experience Design Studio)</w:t>
            </w:r>
          </w:p>
        </w:tc>
        <w:tc>
          <w:tcPr>
            <w:tcW w:type="dxa" w:w="1516"/>
          </w:tcPr>
          <w:p>
            <w:r>
              <w:t>Oracle HCM</w:t>
            </w:r>
          </w:p>
        </w:tc>
        <w:tc>
          <w:tcPr>
            <w:tcW w:type="dxa" w:w="1516"/>
          </w:tcPr>
          <w:p>
            <w:r>
              <w:t>Offer status = Accepted</w:t>
            </w:r>
          </w:p>
        </w:tc>
        <w:tc>
          <w:tcPr>
            <w:tcW w:type="dxa" w:w="1516"/>
          </w:tcPr>
          <w:p>
            <w:r>
              <w:t>Portal UI language auto‑selected based on candidate preference</w:t>
            </w:r>
          </w:p>
        </w:tc>
      </w:tr>
      <w:tr>
        <w:tc>
          <w:tcPr>
            <w:tcW w:type="dxa" w:w="1516"/>
          </w:tcPr>
          <w:p>
            <w:r>
              <w:t>5</w:t>
            </w:r>
          </w:p>
        </w:tc>
        <w:tc>
          <w:tcPr>
            <w:tcW w:type="dxa" w:w="1516"/>
          </w:tcPr>
          <w:p>
            <w:r>
              <w:t>HR Specialist</w:t>
            </w:r>
          </w:p>
        </w:tc>
        <w:tc>
          <w:tcPr>
            <w:tcW w:type="dxa" w:w="1516"/>
          </w:tcPr>
          <w:p>
            <w:r>
              <w:t>Initiate Hire event by clicking **Add Worker** (Setup and Maintenance: Manage Worker Types) and enter mandatory data</w:t>
            </w:r>
          </w:p>
        </w:tc>
        <w:tc>
          <w:tcPr>
            <w:tcW w:type="dxa" w:w="1516"/>
          </w:tcPr>
          <w:p>
            <w:r>
              <w:t>Oracle HCM</w:t>
            </w:r>
          </w:p>
        </w:tc>
        <w:tc>
          <w:tcPr>
            <w:tcW w:type="dxa" w:w="1516"/>
          </w:tcPr>
          <w:p>
            <w:r>
              <w:t>Worker record created with Global Employee ID (golden record)</w:t>
            </w:r>
          </w:p>
        </w:tc>
        <w:tc>
          <w:tcPr>
            <w:tcW w:type="dxa" w:w="1516"/>
          </w:tcPr>
          <w:p>
            <w:r>
              <w:t>Worker type set to *Clinical* or *Non‑Clinical* per position; default language set per locale</w:t>
            </w:r>
          </w:p>
        </w:tc>
      </w:tr>
      <w:tr>
        <w:tc>
          <w:tcPr>
            <w:tcW w:type="dxa" w:w="1516"/>
          </w:tcPr>
          <w:p>
            <w:r>
              <w:t>6</w:t>
            </w:r>
          </w:p>
        </w:tc>
        <w:tc>
          <w:tcPr>
            <w:tcW w:type="dxa" w:w="1516"/>
          </w:tcPr>
          <w:p>
            <w:r>
              <w:t>HR Specialist</w:t>
            </w:r>
          </w:p>
        </w:tc>
        <w:tc>
          <w:tcPr>
            <w:tcW w:type="dxa" w:w="1516"/>
          </w:tcPr>
          <w:p>
            <w:r>
              <w:t>Load supplemental worker data via HDL – HCM Data Loader (Setup and Maintenance: Define HDL Load Definitions)</w:t>
            </w:r>
          </w:p>
        </w:tc>
        <w:tc>
          <w:tcPr>
            <w:tcW w:type="dxa" w:w="1516"/>
          </w:tcPr>
          <w:p>
            <w:r>
              <w:t>Oracle HCM</w:t>
            </w:r>
          </w:p>
        </w:tc>
        <w:tc>
          <w:tcPr>
            <w:tcW w:type="dxa" w:w="1516"/>
          </w:tcPr>
          <w:p>
            <w:r>
              <w:t>All required attributes (e.g., tax, union, benefit eligibility) populated</w:t>
            </w:r>
          </w:p>
        </w:tc>
        <w:tc>
          <w:tcPr>
            <w:tcW w:type="dxa" w:w="1516"/>
          </w:tcPr>
          <w:p>
            <w:r>
              <w:t>HDL file validated against **Validate Worker Data** task</w:t>
            </w:r>
          </w:p>
        </w:tc>
      </w:tr>
      <w:tr>
        <w:tc>
          <w:tcPr>
            <w:tcW w:type="dxa" w:w="1516"/>
          </w:tcPr>
          <w:p>
            <w:r>
              <w:t>7</w:t>
            </w:r>
          </w:p>
        </w:tc>
        <w:tc>
          <w:tcPr>
            <w:tcW w:type="dxa" w:w="1516"/>
          </w:tcPr>
          <w:p>
            <w:r>
              <w:t>Credentialing Administrator</w:t>
            </w:r>
          </w:p>
        </w:tc>
        <w:tc>
          <w:tcPr>
            <w:tcW w:type="dxa" w:w="1516"/>
          </w:tcPr>
          <w:p>
            <w:r>
              <w:t>Trigger real‑time credential verification integration with Symplr via OIC (Setup and Maintenance: Manage Integration – OIC for Symplr)</w:t>
            </w:r>
          </w:p>
        </w:tc>
        <w:tc>
          <w:tcPr>
            <w:tcW w:type="dxa" w:w="1516"/>
          </w:tcPr>
          <w:p>
            <w:r>
              <w:t>Oracle HCM &amp; External System (Symplr)</w:t>
            </w:r>
          </w:p>
        </w:tc>
        <w:tc>
          <w:tcPr>
            <w:tcW w:type="dxa" w:w="1516"/>
          </w:tcPr>
          <w:p>
            <w:r>
              <w:t>Credential status = Verified/Rejected; flag stored on worker record</w:t>
            </w:r>
          </w:p>
        </w:tc>
        <w:tc>
          <w:tcPr>
            <w:tcW w:type="dxa" w:w="1516"/>
          </w:tcPr>
          <w:p>
            <w:r>
              <w:t>If rejected, workflow routes to Credentialing Review queue</w:t>
            </w:r>
          </w:p>
        </w:tc>
      </w:tr>
      <w:tr>
        <w:tc>
          <w:tcPr>
            <w:tcW w:type="dxa" w:w="1516"/>
          </w:tcPr>
          <w:p>
            <w:r>
              <w:t>8</w:t>
            </w:r>
          </w:p>
        </w:tc>
        <w:tc>
          <w:tcPr>
            <w:tcW w:type="dxa" w:w="1516"/>
          </w:tcPr>
          <w:p>
            <w:r>
              <w:t>Payroll Administrator</w:t>
            </w:r>
          </w:p>
        </w:tc>
        <w:tc>
          <w:tcPr>
            <w:tcW w:type="dxa" w:w="1516"/>
          </w:tcPr>
          <w:p>
            <w:r>
              <w:t>Publish hire event to payroll provider (ADP US / Ceridian Canada) via OIC (Setup and Maintenance: Manage Payroll Interface)</w:t>
            </w:r>
          </w:p>
        </w:tc>
        <w:tc>
          <w:tcPr>
            <w:tcW w:type="dxa" w:w="1516"/>
          </w:tcPr>
          <w:p>
            <w:r>
              <w:t>Oracle HCM &amp; External Payroll System</w:t>
            </w:r>
          </w:p>
        </w:tc>
        <w:tc>
          <w:tcPr>
            <w:tcW w:type="dxa" w:w="1516"/>
          </w:tcPr>
          <w:p>
            <w:r>
              <w:t>Payroll master record created and payroll start date set</w:t>
            </w:r>
          </w:p>
        </w:tc>
        <w:tc>
          <w:tcPr>
            <w:tcW w:type="dxa" w:w="1516"/>
          </w:tcPr>
          <w:p>
            <w:r>
              <w:t>Country‑specific payroll rules applied automatically</w:t>
            </w:r>
          </w:p>
        </w:tc>
      </w:tr>
      <w:tr>
        <w:tc>
          <w:tcPr>
            <w:tcW w:type="dxa" w:w="1516"/>
          </w:tcPr>
          <w:p>
            <w:r>
              <w:t>9</w:t>
            </w:r>
          </w:p>
        </w:tc>
        <w:tc>
          <w:tcPr>
            <w:tcW w:type="dxa" w:w="1516"/>
          </w:tcPr>
          <w:p>
            <w:r>
              <w:t>Benefits Administrator</w:t>
            </w:r>
          </w:p>
        </w:tc>
        <w:tc>
          <w:tcPr>
            <w:tcW w:type="dxa" w:w="1516"/>
          </w:tcPr>
          <w:p>
            <w:r>
              <w:t>Send benefits enrollment request to Benefitfocus via OIC (Setup and Maintenance: Manage Benefits Interface)</w:t>
            </w:r>
          </w:p>
        </w:tc>
        <w:tc>
          <w:tcPr>
            <w:tcW w:type="dxa" w:w="1516"/>
          </w:tcPr>
          <w:p>
            <w:r>
              <w:t>Oracle HCM &amp; External Benefits Vendor</w:t>
            </w:r>
          </w:p>
        </w:tc>
        <w:tc>
          <w:tcPr>
            <w:tcW w:type="dxa" w:w="1516"/>
          </w:tcPr>
          <w:p>
            <w:r>
              <w:t>Benefits eligibility and enrollment status recorded</w:t>
            </w:r>
          </w:p>
        </w:tc>
        <w:tc>
          <w:tcPr>
            <w:tcW w:type="dxa" w:w="1516"/>
          </w:tcPr>
          <w:p>
            <w:r>
              <w:t>Eligibility rules respect union contracts and locale</w:t>
            </w:r>
          </w:p>
        </w:tc>
      </w:tr>
      <w:tr>
        <w:tc>
          <w:tcPr>
            <w:tcW w:type="dxa" w:w="1516"/>
          </w:tcPr>
          <w:p>
            <w:r>
              <w:t>10</w:t>
            </w:r>
          </w:p>
        </w:tc>
        <w:tc>
          <w:tcPr>
            <w:tcW w:type="dxa" w:w="1516"/>
          </w:tcPr>
          <w:p>
            <w:r>
              <w:t>IT Service Desk</w:t>
            </w:r>
          </w:p>
        </w:tc>
        <w:tc>
          <w:tcPr>
            <w:tcW w:type="dxa" w:w="1516"/>
          </w:tcPr>
          <w:p>
            <w:r>
              <w:t>Create IT provisioning request through OIC to ServiceNow (Setup and Maintenance: Manage Integration – OIC for ServiceNow)</w:t>
            </w:r>
          </w:p>
        </w:tc>
        <w:tc>
          <w:tcPr>
            <w:tcW w:type="dxa" w:w="1516"/>
          </w:tcPr>
          <w:p>
            <w:r>
              <w:t>Oracle HCM &amp; ServiceNow</w:t>
            </w:r>
          </w:p>
        </w:tc>
        <w:tc>
          <w:tcPr>
            <w:tcW w:type="dxa" w:w="1516"/>
          </w:tcPr>
          <w:p>
            <w:r>
              <w:t>User account, email, and application access provisioned</w:t>
            </w:r>
          </w:p>
        </w:tc>
        <w:tc>
          <w:tcPr>
            <w:tcW w:type="dxa" w:w="1516"/>
          </w:tcPr>
          <w:p>
            <w:r>
              <w:t>Provisioning triggered only after credential status = Verified</w:t>
            </w:r>
          </w:p>
        </w:tc>
      </w:tr>
      <w:tr>
        <w:tc>
          <w:tcPr>
            <w:tcW w:type="dxa" w:w="1516"/>
          </w:tcPr>
          <w:p>
            <w:r>
              <w:t>11</w:t>
            </w:r>
          </w:p>
        </w:tc>
        <w:tc>
          <w:tcPr>
            <w:tcW w:type="dxa" w:w="1516"/>
          </w:tcPr>
          <w:p>
            <w:r>
              <w:t>System (Oracle HCM Notification)</w:t>
            </w:r>
          </w:p>
        </w:tc>
        <w:tc>
          <w:tcPr>
            <w:tcW w:type="dxa" w:w="1516"/>
          </w:tcPr>
          <w:p>
            <w:r>
              <w:t>Send welcome email and onboarding checklist in employee’s preferred language</w:t>
            </w:r>
          </w:p>
        </w:tc>
        <w:tc>
          <w:tcPr>
            <w:tcW w:type="dxa" w:w="1516"/>
          </w:tcPr>
          <w:p>
            <w:r>
              <w:t>Oracle HCM</w:t>
            </w:r>
          </w:p>
        </w:tc>
        <w:tc>
          <w:tcPr>
            <w:tcW w:type="dxa" w:w="1516"/>
          </w:tcPr>
          <w:p>
            <w:r>
              <w:t>Employee receives bilingual (EN/ES) or French‑Canadian onboarding package</w:t>
            </w:r>
          </w:p>
        </w:tc>
        <w:tc>
          <w:tcPr>
            <w:tcW w:type="dxa" w:w="1516"/>
          </w:tcPr>
          <w:p>
            <w:r>
              <w:t>Email templates managed via Setup and Maintenance: Manage Notification Templates</w:t>
            </w:r>
          </w:p>
        </w:tc>
      </w:tr>
      <w:tr>
        <w:tc>
          <w:tcPr>
            <w:tcW w:type="dxa" w:w="1516"/>
          </w:tcPr>
          <w:p>
            <w:r>
              <w:t>12</w:t>
            </w:r>
          </w:p>
        </w:tc>
        <w:tc>
          <w:tcPr>
            <w:tcW w:type="dxa" w:w="1516"/>
          </w:tcPr>
          <w:p>
            <w:r>
              <w:t>Clinical Scheduler (Epic)</w:t>
            </w:r>
          </w:p>
        </w:tc>
        <w:tc>
          <w:tcPr>
            <w:tcW w:type="dxa" w:w="1516"/>
          </w:tcPr>
          <w:p>
            <w:r>
              <w:t>Query worker credential flag via OIC integration (Setup and Maintenance: Manage Integration – OIC for Epic)</w:t>
            </w:r>
          </w:p>
        </w:tc>
        <w:tc>
          <w:tcPr>
            <w:tcW w:type="dxa" w:w="1516"/>
          </w:tcPr>
          <w:p>
            <w:r>
              <w:t>Epic &amp; Oracle HCM</w:t>
            </w:r>
          </w:p>
        </w:tc>
        <w:tc>
          <w:tcPr>
            <w:tcW w:type="dxa" w:w="1516"/>
          </w:tcPr>
          <w:p>
            <w:r>
              <w:t>Employee added to clinical scheduling pool only if credential status = Verified</w:t>
            </w:r>
          </w:p>
        </w:tc>
        <w:tc>
          <w:tcPr>
            <w:tcW w:type="dxa" w:w="1516"/>
          </w:tcPr>
          <w:p>
            <w:r>
              <w:t>Scheduling access automatically revoked if credential status changes to Inactive</w:t>
            </w:r>
          </w:p>
        </w:tc>
      </w:tr>
    </w:tbl>
    <w:p>
      <w:r>
        <w:rPr>
          <w:b/>
        </w:rPr>
        <w:t xml:space="preserve">Approval Required: </w:t>
      </w:r>
      <w:r>
        <w:t>Hiring Manager, Department Head, Compensation Committee, Legal/Compliance Officer</w:t>
      </w:r>
    </w:p>
    <w:p>
      <w:r>
        <w:t>Notes: All UI screens configured for English, Spanish, and French‑Canadian via Setup and Maintenance: Manage Languages.  Multi‑country tax, union, and benefit rules defined in Setup and Maintenance: Manage Tax, Manage Union, Manage Benefit Plans.  Event‑driven OIC integrations use published APIs to ensure real‑time data flow to payroll, benefits, IT, Symplr, and Epic.</w:t>
      </w:r>
    </w:p>
    <w:p>
      <w:pPr>
        <w:pStyle w:val="Heading2"/>
      </w:pPr>
      <w:r>
        <w:t>4.1.4 Manage Person</w:t>
      </w:r>
    </w:p>
    <w:p>
      <w:r>
        <w:t>Module: Core HR  |  Oracle Transaction: Manage Person</w:t>
      </w:r>
    </w:p>
    <w:p>
      <w:r>
        <w:t>Trigger: Creation, update, or termination of a Person record (Hire, Transfer, Promotion, Termination) initiated from the Recruiting module or HR Service Center.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Recruiter / Hiring Manager</w:t>
            </w:r>
          </w:p>
        </w:tc>
        <w:tc>
          <w:tcPr>
            <w:tcW w:type="dxa" w:w="1516"/>
          </w:tcPr>
          <w:p>
            <w:r>
              <w:t>Submit Requisition and Candidate selection; generate Hire Request.</w:t>
            </w:r>
          </w:p>
        </w:tc>
        <w:tc>
          <w:tcPr>
            <w:tcW w:type="dxa" w:w="1516"/>
          </w:tcPr>
          <w:p>
            <w:r>
              <w:t>Oracle Recruiting (HCM Experience Design Studio)</w:t>
            </w:r>
          </w:p>
        </w:tc>
        <w:tc>
          <w:tcPr>
            <w:tcW w:type="dxa" w:w="1516"/>
          </w:tcPr>
          <w:p>
            <w:r>
              <w:t>Hire Request record created and routed to HR Business Partner for validation.</w:t>
            </w:r>
          </w:p>
        </w:tc>
        <w:tc>
          <w:tcPr>
            <w:tcW w:type="dxa" w:w="1516"/>
          </w:tcPr>
          <w:p>
            <w:r>
              <w:t>Setup task: **HRMS – Manage Requisition – Define Requisition Types**; UI language set via **Manage Languages – Define Language Packs** (EN/ES/FR-CA).</w:t>
            </w:r>
          </w:p>
        </w:tc>
      </w:tr>
      <w:tr>
        <w:tc>
          <w:tcPr>
            <w:tcW w:type="dxa" w:w="1516"/>
          </w:tcPr>
          <w:p>
            <w:r>
              <w:t>2</w:t>
            </w:r>
          </w:p>
        </w:tc>
        <w:tc>
          <w:tcPr>
            <w:tcW w:type="dxa" w:w="1516"/>
          </w:tcPr>
          <w:p>
            <w:r>
              <w:t>HR Business Partner</w:t>
            </w:r>
          </w:p>
        </w:tc>
        <w:tc>
          <w:tcPr>
            <w:tcW w:type="dxa" w:w="1516"/>
          </w:tcPr>
          <w:p>
            <w:r>
              <w:t>Validate candidate eligibility, assign Global Person ID (Golden Record) and select Person Type.</w:t>
            </w:r>
          </w:p>
        </w:tc>
        <w:tc>
          <w:tcPr>
            <w:tcW w:type="dxa" w:w="1516"/>
          </w:tcPr>
          <w:p>
            <w:r>
              <w:t>Oracle Core HR</w:t>
            </w:r>
          </w:p>
        </w:tc>
        <w:tc>
          <w:tcPr>
            <w:tcW w:type="dxa" w:w="1516"/>
          </w:tcPr>
          <w:p>
            <w:r>
              <w:t>Person record pre‑populated with Global Person ID; eligibility rules enforced.</w:t>
            </w:r>
          </w:p>
        </w:tc>
        <w:tc>
          <w:tcPr>
            <w:tcW w:type="dxa" w:w="1516"/>
          </w:tcPr>
          <w:p>
            <w:r>
              <w:t>Configuration task: **HRMS – Manage Person – Define Person Types**; **HRMS – Manage Person – Define Global Person ID Generation Rules**.</w:t>
            </w:r>
          </w:p>
        </w:tc>
      </w:tr>
      <w:tr>
        <w:tc>
          <w:tcPr>
            <w:tcW w:type="dxa" w:w="1516"/>
          </w:tcPr>
          <w:p>
            <w:r>
              <w:t>3</w:t>
            </w:r>
          </w:p>
        </w:tc>
        <w:tc>
          <w:tcPr>
            <w:tcW w:type="dxa" w:w="1516"/>
          </w:tcPr>
          <w:p>
            <w:r>
              <w:t>HR Business Partner</w:t>
            </w:r>
          </w:p>
        </w:tc>
        <w:tc>
          <w:tcPr>
            <w:tcW w:type="dxa" w:w="1516"/>
          </w:tcPr>
          <w:p>
            <w:r>
              <w:t>Initiate **Manage Person – Create Person** transaction.</w:t>
            </w:r>
          </w:p>
        </w:tc>
        <w:tc>
          <w:tcPr>
            <w:tcW w:type="dxa" w:w="1516"/>
          </w:tcPr>
          <w:p>
            <w:r>
              <w:t>Oracle Core HR</w:t>
            </w:r>
          </w:p>
        </w:tc>
        <w:tc>
          <w:tcPr>
            <w:tcW w:type="dxa" w:w="1516"/>
          </w:tcPr>
          <w:p>
            <w:r>
              <w:t>Person record written to **PER_ALL_PEOPLE_F** and **PER_ALL_ASSIGNMENTS_F** tables.</w:t>
            </w:r>
          </w:p>
        </w:tc>
        <w:tc>
          <w:tcPr>
            <w:tcW w:type="dxa" w:w="1516"/>
          </w:tcPr>
          <w:p>
            <w:r>
              <w:t>Setup task: **HRMS – Manage Person – Define Assignment Types**; ensure **Legal Entity** and **Business Unit** values are maintained via **HRMS – Manage Legal Entities** and **HRMS – Manage Business Units**.</w:t>
            </w:r>
          </w:p>
        </w:tc>
      </w:tr>
      <w:tr>
        <w:tc>
          <w:tcPr>
            <w:tcW w:type="dxa" w:w="1516"/>
          </w:tcPr>
          <w:p>
            <w:r>
              <w:t>4</w:t>
            </w:r>
          </w:p>
        </w:tc>
        <w:tc>
          <w:tcPr>
            <w:tcW w:type="dxa" w:w="1516"/>
          </w:tcPr>
          <w:p>
            <w:r>
              <w:t>Compensation Manager</w:t>
            </w:r>
          </w:p>
        </w:tc>
        <w:tc>
          <w:tcPr>
            <w:tcW w:type="dxa" w:w="1516"/>
          </w:tcPr>
          <w:p>
            <w:r>
              <w:t>Configure initial compensation plan and salary grade.</w:t>
            </w:r>
          </w:p>
        </w:tc>
        <w:tc>
          <w:tcPr>
            <w:tcW w:type="dxa" w:w="1516"/>
          </w:tcPr>
          <w:p>
            <w:r>
              <w:t>Oracle Compensation</w:t>
            </w:r>
          </w:p>
        </w:tc>
        <w:tc>
          <w:tcPr>
            <w:tcW w:type="dxa" w:w="1516"/>
          </w:tcPr>
          <w:p>
            <w:r>
              <w:t>Compensation elements linked to Person Assignment; compensation workflow triggered.</w:t>
            </w:r>
          </w:p>
        </w:tc>
        <w:tc>
          <w:tcPr>
            <w:tcW w:type="dxa" w:w="1516"/>
          </w:tcPr>
          <w:p>
            <w:r>
              <w:t>Setup task: **Compensation – Define Compensation Plans**; approval workflow defined in **HRMS – Manage Approval Rules – Define Compensation Approval Rules**.</w:t>
            </w:r>
          </w:p>
        </w:tc>
      </w:tr>
      <w:tr>
        <w:tc>
          <w:tcPr>
            <w:tcW w:type="dxa" w:w="1516"/>
          </w:tcPr>
          <w:p>
            <w:r>
              <w:t>5</w:t>
            </w:r>
          </w:p>
        </w:tc>
        <w:tc>
          <w:tcPr>
            <w:tcW w:type="dxa" w:w="1516"/>
          </w:tcPr>
          <w:p>
            <w:r>
              <w:t>Credentialing Coordinator</w:t>
            </w:r>
          </w:p>
        </w:tc>
        <w:tc>
          <w:tcPr>
            <w:tcW w:type="dxa" w:w="1516"/>
          </w:tcPr>
          <w:p>
            <w:r>
              <w:t>Trigger real‑time credentialing request to Symplr via OIC.</w:t>
            </w:r>
          </w:p>
        </w:tc>
        <w:tc>
          <w:tcPr>
            <w:tcW w:type="dxa" w:w="1516"/>
          </w:tcPr>
          <w:p>
            <w:r>
              <w:t>Oracle Integration Cloud (OIC) – Symplr Adapter</w:t>
            </w:r>
          </w:p>
        </w:tc>
        <w:tc>
          <w:tcPr>
            <w:tcW w:type="dxa" w:w="1516"/>
          </w:tcPr>
          <w:p>
            <w:r>
              <w:t>Credentialing status (Active/Expired/Pending) stored in **PER_PERSON_CREDENTIALS** custom extension table.</w:t>
            </w:r>
          </w:p>
        </w:tc>
        <w:tc>
          <w:tcPr>
            <w:tcW w:type="dxa" w:w="1516"/>
          </w:tcPr>
          <w:p>
            <w:r>
              <w:t>Integration design documented in **OIC – Integration Catalog – Symplr Credentialing Service**; use **HRMS – Manage Person – Define Person Attribute Extensions** for custom fields.</w:t>
            </w:r>
          </w:p>
        </w:tc>
      </w:tr>
      <w:tr>
        <w:tc>
          <w:tcPr>
            <w:tcW w:type="dxa" w:w="1516"/>
          </w:tcPr>
          <w:p>
            <w:r>
              <w:t>6</w:t>
            </w:r>
          </w:p>
        </w:tc>
        <w:tc>
          <w:tcPr>
            <w:tcW w:type="dxa" w:w="1516"/>
          </w:tcPr>
          <w:p>
            <w:r>
              <w:t>System (OIC)</w:t>
            </w:r>
          </w:p>
        </w:tc>
        <w:tc>
          <w:tcPr>
            <w:tcW w:type="dxa" w:w="1516"/>
          </w:tcPr>
          <w:p>
            <w:r>
              <w:t>Consume credentialing response and update Person record; set flag **Credential_Status**.</w:t>
            </w:r>
          </w:p>
        </w:tc>
        <w:tc>
          <w:tcPr>
            <w:tcW w:type="dxa" w:w="1516"/>
          </w:tcPr>
          <w:p>
            <w:r>
              <w:t>Oracle Core HR</w:t>
            </w:r>
          </w:p>
        </w:tc>
        <w:tc>
          <w:tcPr>
            <w:tcW w:type="dxa" w:w="1516"/>
          </w:tcPr>
          <w:p>
            <w:r>
              <w:t>Credential flag visible in scheduling UI; scheduling system (Epic) will reject assignments if flag is not **Active**.</w:t>
            </w:r>
          </w:p>
        </w:tc>
        <w:tc>
          <w:tcPr>
            <w:tcW w:type="dxa" w:w="1516"/>
          </w:tcPr>
          <w:p>
            <w:r>
              <w:t>Mapping defined in **HRMS – Manage Person – Define Person Attribute Mappings**.</w:t>
            </w:r>
          </w:p>
        </w:tc>
      </w:tr>
      <w:tr>
        <w:tc>
          <w:tcPr>
            <w:tcW w:type="dxa" w:w="1516"/>
          </w:tcPr>
          <w:p>
            <w:r>
              <w:t>7</w:t>
            </w:r>
          </w:p>
        </w:tc>
        <w:tc>
          <w:tcPr>
            <w:tcW w:type="dxa" w:w="1516"/>
          </w:tcPr>
          <w:p>
            <w:r>
              <w:t>HR Approver (Union Representative / Legal Entity Approver)</w:t>
            </w:r>
          </w:p>
        </w:tc>
        <w:tc>
          <w:tcPr>
            <w:tcW w:type="dxa" w:w="1516"/>
          </w:tcPr>
          <w:p>
            <w:r>
              <w:t>Approve Hire Request based on multi‑level workflow.</w:t>
            </w:r>
          </w:p>
        </w:tc>
        <w:tc>
          <w:tcPr>
            <w:tcW w:type="dxa" w:w="1516"/>
          </w:tcPr>
          <w:p>
            <w:r>
              <w:t>Oracle Approvals Framework (OAF)</w:t>
            </w:r>
          </w:p>
        </w:tc>
        <w:tc>
          <w:tcPr>
            <w:tcW w:type="dxa" w:w="1516"/>
          </w:tcPr>
          <w:p>
            <w:r>
              <w:t>Hire Request status changes to **Approved**; triggers downstream integrations.</w:t>
            </w:r>
          </w:p>
        </w:tc>
        <w:tc>
          <w:tcPr>
            <w:tcW w:type="dxa" w:w="1516"/>
          </w:tcPr>
          <w:p>
            <w:r>
              <w:t>Workflow configured via **HRMS – Manage Approval Rules – Define Hire Approval Rules**; include union seniority rules where applicable.</w:t>
            </w:r>
          </w:p>
        </w:tc>
      </w:tr>
      <w:tr>
        <w:tc>
          <w:tcPr>
            <w:tcW w:type="dxa" w:w="1516"/>
          </w:tcPr>
          <w:p>
            <w:r>
              <w:t>8</w:t>
            </w:r>
          </w:p>
        </w:tc>
        <w:tc>
          <w:tcPr>
            <w:tcW w:type="dxa" w:w="1516"/>
          </w:tcPr>
          <w:p>
            <w:r>
              <w:t>Integration Service (OIC)</w:t>
            </w:r>
          </w:p>
        </w:tc>
        <w:tc>
          <w:tcPr>
            <w:tcW w:type="dxa" w:w="1516"/>
          </w:tcPr>
          <w:p>
            <w:r>
              <w:t>Publish Hire event to payroll providers (ADP US, Ceridian Canada) and IT provisioning system.</w:t>
            </w:r>
          </w:p>
        </w:tc>
        <w:tc>
          <w:tcPr>
            <w:tcW w:type="dxa" w:w="1516"/>
          </w:tcPr>
          <w:p>
            <w:r>
              <w:t>Oracle Integration Cloud – Payroll &amp; IT Adapters</w:t>
            </w:r>
          </w:p>
        </w:tc>
        <w:tc>
          <w:tcPr>
            <w:tcW w:type="dxa" w:w="1516"/>
          </w:tcPr>
          <w:p>
            <w:r>
              <w:t>Payroll master data created; user accounts provisioned; Epic receives employee master record.</w:t>
            </w:r>
          </w:p>
        </w:tc>
        <w:tc>
          <w:tcPr>
            <w:tcW w:type="dxa" w:w="1516"/>
          </w:tcPr>
          <w:p>
            <w:r>
              <w:t>Event‑driven integration uses **HRMS – Manage Person – Define Person Event Triggers**; reference **OIC – Integration Catalog – Payroll Provider Interface**.</w:t>
            </w:r>
          </w:p>
        </w:tc>
      </w:tr>
      <w:tr>
        <w:tc>
          <w:tcPr>
            <w:tcW w:type="dxa" w:w="1516"/>
          </w:tcPr>
          <w:p>
            <w:r>
              <w:t>9</w:t>
            </w:r>
          </w:p>
        </w:tc>
        <w:tc>
          <w:tcPr>
            <w:tcW w:type="dxa" w:w="1516"/>
          </w:tcPr>
          <w:p>
            <w:r>
              <w:t>Benefits Administrator</w:t>
            </w:r>
          </w:p>
        </w:tc>
        <w:tc>
          <w:tcPr>
            <w:tcW w:type="dxa" w:w="1516"/>
          </w:tcPr>
          <w:p>
            <w:r>
              <w:t>Enroll new employee in Benefitfocus plans via OIC.</w:t>
            </w:r>
          </w:p>
        </w:tc>
        <w:tc>
          <w:tcPr>
            <w:tcW w:type="dxa" w:w="1516"/>
          </w:tcPr>
          <w:p>
            <w:r>
              <w:t>Oracle Integration Cloud – Benefitfocus Adapter</w:t>
            </w:r>
          </w:p>
        </w:tc>
        <w:tc>
          <w:tcPr>
            <w:tcW w:type="dxa" w:w="1516"/>
          </w:tcPr>
          <w:p>
            <w:r>
              <w:t>Benefit enrollment record created; employee receives enrollment portal link in selected language.</w:t>
            </w:r>
          </w:p>
        </w:tc>
        <w:tc>
          <w:tcPr>
            <w:tcW w:type="dxa" w:w="1516"/>
          </w:tcPr>
          <w:p>
            <w:r>
              <w:t>Configuration task: **HRMS – Manage Benefits – Define Benefit Plans**; language‑specific content managed in **HCM Experience Design Studio – Manage Content – Language Variants**.</w:t>
            </w:r>
          </w:p>
        </w:tc>
      </w:tr>
      <w:tr>
        <w:tc>
          <w:tcPr>
            <w:tcW w:type="dxa" w:w="1516"/>
          </w:tcPr>
          <w:p>
            <w:r>
              <w:t>10</w:t>
            </w:r>
          </w:p>
        </w:tc>
        <w:tc>
          <w:tcPr>
            <w:tcW w:type="dxa" w:w="1516"/>
          </w:tcPr>
          <w:p>
            <w:r>
              <w:t>Employee</w:t>
            </w:r>
          </w:p>
        </w:tc>
        <w:tc>
          <w:tcPr>
            <w:tcW w:type="dxa" w:w="1516"/>
          </w:tcPr>
          <w:p>
            <w:r>
              <w:t>Log in to HCM Self‑Service, review personal data, accept policies, and complete onboarding documents.</w:t>
            </w:r>
          </w:p>
        </w:tc>
        <w:tc>
          <w:tcPr>
            <w:tcW w:type="dxa" w:w="1516"/>
          </w:tcPr>
          <w:p>
            <w:r>
              <w:t>Oracle HCM Self‑Service (EN/ES/FR‑CA)</w:t>
            </w:r>
          </w:p>
        </w:tc>
        <w:tc>
          <w:tcPr>
            <w:tcW w:type="dxa" w:w="1516"/>
          </w:tcPr>
          <w:p>
            <w:r>
              <w:t>All onboarding tasks marked complete; Person status changes to **Active**.</w:t>
            </w:r>
          </w:p>
        </w:tc>
        <w:tc>
          <w:tcPr>
            <w:tcW w:type="dxa" w:w="1516"/>
          </w:tcPr>
          <w:p>
            <w:r>
              <w:t>Document routing configured via **HRMS – Manage Document Types – Define Onboarding Document Flow**; UI language determined by employee’s **Preferred Language** attribute.</w:t>
            </w:r>
          </w:p>
        </w:tc>
      </w:tr>
    </w:tbl>
    <w:p>
      <w:r>
        <w:rPr>
          <w:b/>
        </w:rPr>
        <w:t xml:space="preserve">Approval Required: </w:t>
      </w:r>
      <w:r>
        <w:t>HR Business Partner, Compensation Manager, Legal Entity Approver, Union Representative</w:t>
      </w:r>
    </w:p>
    <w:p>
      <w:r>
        <w:t>Notes: All configuration references align with Oracle Fusion Cloud HCM Setup and Maintenance tasks. Ensure that the Global Person ID is the master key across all integrations to maintain a single source of truth. Bilingual and French‑Canadian UI support is driven by the **Preferred Language** attribute and the language packs defined in **HRMS – Manage Languages**. Real‑time credentialing integration must be tested end‑to‑end with Symplr and Epic before go‑live.</w:t>
      </w:r>
    </w:p>
    <w:p>
      <w:pPr>
        <w:pStyle w:val="Heading2"/>
      </w:pPr>
      <w:r>
        <w:t>4.1.5 Manage Work Relationship</w:t>
      </w:r>
    </w:p>
    <w:p>
      <w:r>
        <w:t>Module: Core HR  |  Oracle Transaction: Manage Work Relationship</w:t>
      </w:r>
    </w:p>
    <w:p>
      <w:r>
        <w:t>Trigger: HR Business Partner or Hiring Manager submits a new Work Relationship request in the HCM Experience Design Studio (HED) UI.</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Hiring Manager / HR Business Partner</w:t>
            </w:r>
          </w:p>
        </w:tc>
        <w:tc>
          <w:tcPr>
            <w:tcW w:type="dxa" w:w="1516"/>
          </w:tcPr>
          <w:p>
            <w:r>
              <w:t>Enter Work Relationship request details (Legal Entity, Business Unit, Assignment Type, Position, Effective Date, Language Preference).</w:t>
            </w:r>
          </w:p>
        </w:tc>
        <w:tc>
          <w:tcPr>
            <w:tcW w:type="dxa" w:w="1516"/>
          </w:tcPr>
          <w:p>
            <w:r>
              <w:t>Oracle HCM – HED UI (Setup and Maintenance task: Define Work Relationship Types; Define Assignment Types)</w:t>
            </w:r>
          </w:p>
        </w:tc>
        <w:tc>
          <w:tcPr>
            <w:tcW w:type="dxa" w:w="1516"/>
          </w:tcPr>
          <w:p>
            <w:r>
              <w:t>Work Relationship request record is created in draft status.</w:t>
            </w:r>
          </w:p>
        </w:tc>
        <w:tc>
          <w:tcPr>
            <w:tcW w:type="dxa" w:w="1516"/>
          </w:tcPr>
          <w:p>
            <w:r>
              <w:t>UI is configured for bilingual (EN/ES) and French‑Canadian (FR‑CA) display using 'Define Language Translations' task.</w:t>
            </w:r>
          </w:p>
        </w:tc>
      </w:tr>
      <w:tr>
        <w:tc>
          <w:tcPr>
            <w:tcW w:type="dxa" w:w="1516"/>
          </w:tcPr>
          <w:p>
            <w:r>
              <w:t>2</w:t>
            </w:r>
          </w:p>
        </w:tc>
        <w:tc>
          <w:tcPr>
            <w:tcW w:type="dxa" w:w="1516"/>
          </w:tcPr>
          <w:p>
            <w:r>
              <w:t>System</w:t>
            </w:r>
          </w:p>
        </w:tc>
        <w:tc>
          <w:tcPr>
            <w:tcW w:type="dxa" w:w="1516"/>
          </w:tcPr>
          <w:p>
            <w:r>
              <w:t>Validate global employee ID against the Person record (golden record).</w:t>
            </w:r>
          </w:p>
        </w:tc>
        <w:tc>
          <w:tcPr>
            <w:tcW w:type="dxa" w:w="1516"/>
          </w:tcPr>
          <w:p>
            <w:r>
              <w:t>Oracle HCM – Core HR (Setup and Maintenance task: Manage Person)</w:t>
            </w:r>
          </w:p>
        </w:tc>
        <w:tc>
          <w:tcPr>
            <w:tcW w:type="dxa" w:w="1516"/>
          </w:tcPr>
          <w:p>
            <w:r>
              <w:t>If no Person exists, the system raises an error; otherwise, the Person is linked to the request.</w:t>
            </w:r>
          </w:p>
        </w:tc>
        <w:tc>
          <w:tcPr>
            <w:tcW w:type="dxa" w:w="1516"/>
          </w:tcPr>
          <w:p>
            <w:r>
              <w:t>Ensures single source of truth for employee master data.</w:t>
            </w:r>
          </w:p>
        </w:tc>
      </w:tr>
      <w:tr>
        <w:tc>
          <w:tcPr>
            <w:tcW w:type="dxa" w:w="1516"/>
          </w:tcPr>
          <w:p>
            <w:r>
              <w:t>3</w:t>
            </w:r>
          </w:p>
        </w:tc>
        <w:tc>
          <w:tcPr>
            <w:tcW w:type="dxa" w:w="1516"/>
          </w:tcPr>
          <w:p>
            <w:r>
              <w:t>Integration Service (OIC)</w:t>
            </w:r>
          </w:p>
        </w:tc>
        <w:tc>
          <w:tcPr>
            <w:tcW w:type="dxa" w:w="1516"/>
          </w:tcPr>
          <w:p>
            <w:r>
              <w:t>Call Symplr API to retrieve real‑time credentialing status for clinical positions.</w:t>
            </w:r>
          </w:p>
        </w:tc>
        <w:tc>
          <w:tcPr>
            <w:tcW w:type="dxa" w:w="1516"/>
          </w:tcPr>
          <w:p>
            <w:r>
              <w:t>Oracle Integration Cloud (OIC) – External System: Symplr</w:t>
            </w:r>
          </w:p>
        </w:tc>
        <w:tc>
          <w:tcPr>
            <w:tcW w:type="dxa" w:w="1516"/>
          </w:tcPr>
          <w:p>
            <w:r>
              <w:t>Credentialing status (Active, Pending, Expired) is returned and stored in a temporary staging table.</w:t>
            </w:r>
          </w:p>
        </w:tc>
        <w:tc>
          <w:tcPr>
            <w:tcW w:type="dxa" w:w="1516"/>
          </w:tcPr>
          <w:p>
            <w:r>
              <w:t>Mapping defined in OIC integration flow ‘Symplr‑Credentialing‑Lookup’. If status is not Active, the request is flagged for manual review.</w:t>
            </w:r>
          </w:p>
        </w:tc>
      </w:tr>
      <w:tr>
        <w:tc>
          <w:tcPr>
            <w:tcW w:type="dxa" w:w="1516"/>
          </w:tcPr>
          <w:p>
            <w:r>
              <w:t>4</w:t>
            </w:r>
          </w:p>
        </w:tc>
        <w:tc>
          <w:tcPr>
            <w:tcW w:type="dxa" w:w="1516"/>
          </w:tcPr>
          <w:p>
            <w:r>
              <w:t>Approver – Department Manager</w:t>
            </w:r>
          </w:p>
        </w:tc>
        <w:tc>
          <w:tcPr>
            <w:tcW w:type="dxa" w:w="1516"/>
          </w:tcPr>
          <w:p>
            <w:r>
              <w:t>Review request details and credentialing flag; approve or reject.</w:t>
            </w:r>
          </w:p>
        </w:tc>
        <w:tc>
          <w:tcPr>
            <w:tcW w:type="dxa" w:w="1516"/>
          </w:tcPr>
          <w:p>
            <w:r>
              <w:t>Oracle HCM – Approvals Framework (Setup and Maintenance task: Define Approval Rules)</w:t>
            </w:r>
          </w:p>
        </w:tc>
        <w:tc>
          <w:tcPr>
            <w:tcW w:type="dxa" w:w="1516"/>
          </w:tcPr>
          <w:p>
            <w:r>
              <w:t>Approval decision recorded; if approved, workflow proceeds to next approver.</w:t>
            </w:r>
          </w:p>
        </w:tc>
        <w:tc>
          <w:tcPr>
            <w:tcW w:type="dxa" w:w="1516"/>
          </w:tcPr>
          <w:p>
            <w:r>
              <w:t>Approval rule configured as multi‑level: Department Manager → HR Manager → Finance Controller → Union Representative (if position is unionized).</w:t>
            </w:r>
          </w:p>
        </w:tc>
      </w:tr>
      <w:tr>
        <w:tc>
          <w:tcPr>
            <w:tcW w:type="dxa" w:w="1516"/>
          </w:tcPr>
          <w:p>
            <w:r>
              <w:t>5</w:t>
            </w:r>
          </w:p>
        </w:tc>
        <w:tc>
          <w:tcPr>
            <w:tcW w:type="dxa" w:w="1516"/>
          </w:tcPr>
          <w:p>
            <w:r>
              <w:t>Approver – HR Manager</w:t>
            </w:r>
          </w:p>
        </w:tc>
        <w:tc>
          <w:tcPr>
            <w:tcW w:type="dxa" w:w="1516"/>
          </w:tcPr>
          <w:p>
            <w:r>
              <w:t>Validate compliance with HR policies (e.g., work‑hour limits, benefit eligibility).</w:t>
            </w:r>
          </w:p>
        </w:tc>
        <w:tc>
          <w:tcPr>
            <w:tcW w:type="dxa" w:w="1516"/>
          </w:tcPr>
          <w:p>
            <w:r>
              <w:t>Oracle HCM – Approvals Framework</w:t>
            </w:r>
          </w:p>
        </w:tc>
        <w:tc>
          <w:tcPr>
            <w:tcW w:type="dxa" w:w="1516"/>
          </w:tcPr>
          <w:p>
            <w:r>
              <w:t>HR Manager approval recorded.</w:t>
            </w:r>
          </w:p>
        </w:tc>
        <w:tc>
          <w:tcPr>
            <w:tcW w:type="dxa" w:w="1516"/>
          </w:tcPr>
          <w:p>
            <w:r>
              <w:t>HR policy checks are implemented via Business Rules in ‘Manage Work Relationships’ task.</w:t>
            </w:r>
          </w:p>
        </w:tc>
      </w:tr>
      <w:tr>
        <w:tc>
          <w:tcPr>
            <w:tcW w:type="dxa" w:w="1516"/>
          </w:tcPr>
          <w:p>
            <w:r>
              <w:t>6</w:t>
            </w:r>
          </w:p>
        </w:tc>
        <w:tc>
          <w:tcPr>
            <w:tcW w:type="dxa" w:w="1516"/>
          </w:tcPr>
          <w:p>
            <w:r>
              <w:t>Approver – Finance Controller</w:t>
            </w:r>
          </w:p>
        </w:tc>
        <w:tc>
          <w:tcPr>
            <w:tcW w:type="dxa" w:w="1516"/>
          </w:tcPr>
          <w:p>
            <w:r>
              <w:t>Confirm budget availability and payroll cost center assignment.</w:t>
            </w:r>
          </w:p>
        </w:tc>
        <w:tc>
          <w:tcPr>
            <w:tcW w:type="dxa" w:w="1516"/>
          </w:tcPr>
          <w:p>
            <w:r>
              <w:t>Oracle HCM – Approvals Framework</w:t>
            </w:r>
          </w:p>
        </w:tc>
        <w:tc>
          <w:tcPr>
            <w:tcW w:type="dxa" w:w="1516"/>
          </w:tcPr>
          <w:p>
            <w:r>
              <w:t>Finance approval recorded.</w:t>
            </w:r>
          </w:p>
        </w:tc>
        <w:tc>
          <w:tcPr>
            <w:tcW w:type="dxa" w:w="1516"/>
          </w:tcPr>
          <w:p>
            <w:r>
              <w:t>Cost‑center validation uses the ‘Define Cost Centers’ setup data.</w:t>
            </w:r>
          </w:p>
        </w:tc>
      </w:tr>
      <w:tr>
        <w:tc>
          <w:tcPr>
            <w:tcW w:type="dxa" w:w="1516"/>
          </w:tcPr>
          <w:p>
            <w:r>
              <w:t>7</w:t>
            </w:r>
          </w:p>
        </w:tc>
        <w:tc>
          <w:tcPr>
            <w:tcW w:type="dxa" w:w="1516"/>
          </w:tcPr>
          <w:p>
            <w:r>
              <w:t>Approver – Union Representative (conditional)</w:t>
            </w:r>
          </w:p>
        </w:tc>
        <w:tc>
          <w:tcPr>
            <w:tcW w:type="dxa" w:w="1516"/>
          </w:tcPr>
          <w:p>
            <w:r>
              <w:t>If the position is covered by a collective bargaining agreement, review and approve.</w:t>
            </w:r>
          </w:p>
        </w:tc>
        <w:tc>
          <w:tcPr>
            <w:tcW w:type="dxa" w:w="1516"/>
          </w:tcPr>
          <w:p>
            <w:r>
              <w:t>Oracle HCM – Approvals Framework</w:t>
            </w:r>
          </w:p>
        </w:tc>
        <w:tc>
          <w:tcPr>
            <w:tcW w:type="dxa" w:w="1516"/>
          </w:tcPr>
          <w:p>
            <w:r>
              <w:t>Union approval recorded; otherwise step is skipped.</w:t>
            </w:r>
          </w:p>
        </w:tc>
        <w:tc>
          <w:tcPr>
            <w:tcW w:type="dxa" w:w="1516"/>
          </w:tcPr>
          <w:p>
            <w:r>
              <w:t>Union workflow enabled via ‘Define Union Agreements’ task.</w:t>
            </w:r>
          </w:p>
        </w:tc>
      </w:tr>
      <w:tr>
        <w:tc>
          <w:tcPr>
            <w:tcW w:type="dxa" w:w="1516"/>
          </w:tcPr>
          <w:p>
            <w:r>
              <w:t>8</w:t>
            </w:r>
          </w:p>
        </w:tc>
        <w:tc>
          <w:tcPr>
            <w:tcW w:type="dxa" w:w="1516"/>
          </w:tcPr>
          <w:p>
            <w:r>
              <w:t>System</w:t>
            </w:r>
          </w:p>
        </w:tc>
        <w:tc>
          <w:tcPr>
            <w:tcW w:type="dxa" w:w="1516"/>
          </w:tcPr>
          <w:p>
            <w:r>
              <w:t>Create the Work Relationship record (effective date, assignment, compensation grade, benefit eligibility).</w:t>
            </w:r>
          </w:p>
        </w:tc>
        <w:tc>
          <w:tcPr>
            <w:tcW w:type="dxa" w:w="1516"/>
          </w:tcPr>
          <w:p>
            <w:r>
              <w:t>Oracle HCM – Manage Work Relationships (Setup and Maintenance task: Manage Work Relationships)</w:t>
            </w:r>
          </w:p>
        </w:tc>
        <w:tc>
          <w:tcPr>
            <w:tcW w:type="dxa" w:w="1516"/>
          </w:tcPr>
          <w:p>
            <w:r>
              <w:t>Work Relationship becomes active; employee master data is updated with assignment details.</w:t>
            </w:r>
          </w:p>
        </w:tc>
        <w:tc>
          <w:tcPr>
            <w:tcW w:type="dxa" w:w="1516"/>
          </w:tcPr>
          <w:p>
            <w:r>
              <w:t>Work Relationship Types and Assignment Types must be pre‑defined per legal entity.</w:t>
            </w:r>
          </w:p>
        </w:tc>
      </w:tr>
      <w:tr>
        <w:tc>
          <w:tcPr>
            <w:tcW w:type="dxa" w:w="1516"/>
          </w:tcPr>
          <w:p>
            <w:r>
              <w:t>9</w:t>
            </w:r>
          </w:p>
        </w:tc>
        <w:tc>
          <w:tcPr>
            <w:tcW w:type="dxa" w:w="1516"/>
          </w:tcPr>
          <w:p>
            <w:r>
              <w:t>Integration Service (OIC)</w:t>
            </w:r>
          </w:p>
        </w:tc>
        <w:tc>
          <w:tcPr>
            <w:tcW w:type="dxa" w:w="1516"/>
          </w:tcPr>
          <w:p>
            <w:r>
              <w:t>Push payroll assignment data to ADP (US) or Ceridian (Canada) via payroll integration.</w:t>
            </w:r>
          </w:p>
        </w:tc>
        <w:tc>
          <w:tcPr>
            <w:tcW w:type="dxa" w:w="1516"/>
          </w:tcPr>
          <w:p>
            <w:r>
              <w:t>Oracle Integration Cloud – External Payroll Providers</w:t>
            </w:r>
          </w:p>
        </w:tc>
        <w:tc>
          <w:tcPr>
            <w:tcW w:type="dxa" w:w="1516"/>
          </w:tcPr>
          <w:p>
            <w:r>
              <w:t>Payroll system receives new employee assignment and compensation data.</w:t>
            </w:r>
          </w:p>
        </w:tc>
        <w:tc>
          <w:tcPr>
            <w:tcW w:type="dxa" w:w="1516"/>
          </w:tcPr>
          <w:p>
            <w:r>
              <w:t>Integration mapping uses ‘Payroll‑Hire‑Integration’ OIC flow; error handling logs to HDL – HCM Data Loader for re‑processing.</w:t>
            </w:r>
          </w:p>
        </w:tc>
      </w:tr>
      <w:tr>
        <w:tc>
          <w:tcPr>
            <w:tcW w:type="dxa" w:w="1516"/>
          </w:tcPr>
          <w:p>
            <w:r>
              <w:t>10</w:t>
            </w:r>
          </w:p>
        </w:tc>
        <w:tc>
          <w:tcPr>
            <w:tcW w:type="dxa" w:w="1516"/>
          </w:tcPr>
          <w:p>
            <w:r>
              <w:t>Integration Service (OIC)</w:t>
            </w:r>
          </w:p>
        </w:tc>
        <w:tc>
          <w:tcPr>
            <w:tcW w:type="dxa" w:w="1516"/>
          </w:tcPr>
          <w:p>
            <w:r>
              <w:t>Provision IT accounts (Active Directory, ServiceNow) based on assignment role.</w:t>
            </w:r>
          </w:p>
        </w:tc>
        <w:tc>
          <w:tcPr>
            <w:tcW w:type="dxa" w:w="1516"/>
          </w:tcPr>
          <w:p>
            <w:r>
              <w:t>Oracle Integration Cloud – External System: ServiceNow / AD</w:t>
            </w:r>
          </w:p>
        </w:tc>
        <w:tc>
          <w:tcPr>
            <w:tcW w:type="dxa" w:w="1516"/>
          </w:tcPr>
          <w:p>
            <w:r>
              <w:t>User accounts are created and access groups assigned.</w:t>
            </w:r>
          </w:p>
        </w:tc>
        <w:tc>
          <w:tcPr>
            <w:tcW w:type="dxa" w:w="1516"/>
          </w:tcPr>
          <w:p>
            <w:r>
              <w:t>Provisioning rules are defined in ‘Define IT Provisioning Rules’ task.</w:t>
            </w:r>
          </w:p>
        </w:tc>
      </w:tr>
      <w:tr>
        <w:tc>
          <w:tcPr>
            <w:tcW w:type="dxa" w:w="1516"/>
          </w:tcPr>
          <w:p>
            <w:r>
              <w:t>11</w:t>
            </w:r>
          </w:p>
        </w:tc>
        <w:tc>
          <w:tcPr>
            <w:tcW w:type="dxa" w:w="1516"/>
          </w:tcPr>
          <w:p>
            <w:r>
              <w:t>Integration Service (OIC)</w:t>
            </w:r>
          </w:p>
        </w:tc>
        <w:tc>
          <w:tcPr>
            <w:tcW w:type="dxa" w:w="1516"/>
          </w:tcPr>
          <w:p>
            <w:r>
              <w:t>Send credentialing flag and assignment data to Epic scheduling system.</w:t>
            </w:r>
          </w:p>
        </w:tc>
        <w:tc>
          <w:tcPr>
            <w:tcW w:type="dxa" w:w="1516"/>
          </w:tcPr>
          <w:p>
            <w:r>
              <w:t>Oracle Integration Cloud – External System: Epic</w:t>
            </w:r>
          </w:p>
        </w:tc>
        <w:tc>
          <w:tcPr>
            <w:tcW w:type="dxa" w:w="1516"/>
          </w:tcPr>
          <w:p>
            <w:r>
              <w:t>Epic receives provider status; clinical scheduling respects credentialing constraints.</w:t>
            </w:r>
          </w:p>
        </w:tc>
        <w:tc>
          <w:tcPr>
            <w:tcW w:type="dxa" w:w="1516"/>
          </w:tcPr>
          <w:p>
            <w:r>
              <w:t>Epic interface uses HL7/FHIR messages; mapping defined in ‘Epic‑Provider‑Interface’ OIC flow.</w:t>
            </w:r>
          </w:p>
        </w:tc>
      </w:tr>
      <w:tr>
        <w:tc>
          <w:tcPr>
            <w:tcW w:type="dxa" w:w="1516"/>
          </w:tcPr>
          <w:p>
            <w:r>
              <w:t>12</w:t>
            </w:r>
          </w:p>
        </w:tc>
        <w:tc>
          <w:tcPr>
            <w:tcW w:type="dxa" w:w="1516"/>
          </w:tcPr>
          <w:p>
            <w:r>
              <w:t>System</w:t>
            </w:r>
          </w:p>
        </w:tc>
        <w:tc>
          <w:tcPr>
            <w:tcW w:type="dxa" w:w="1516"/>
          </w:tcPr>
          <w:p>
            <w:r>
              <w:t>Generate localized confirmation email to the new employee (language based on preference).</w:t>
            </w:r>
          </w:p>
        </w:tc>
        <w:tc>
          <w:tcPr>
            <w:tcW w:type="dxa" w:w="1516"/>
          </w:tcPr>
          <w:p>
            <w:r>
              <w:t>Oracle HCM – Email Notification Engine</w:t>
            </w:r>
          </w:p>
        </w:tc>
        <w:tc>
          <w:tcPr>
            <w:tcW w:type="dxa" w:w="1516"/>
          </w:tcPr>
          <w:p>
            <w:r>
              <w:t>Employee receives welcome email with login credentials and next‑step instructions.</w:t>
            </w:r>
          </w:p>
        </w:tc>
        <w:tc>
          <w:tcPr>
            <w:tcW w:type="dxa" w:w="1516"/>
          </w:tcPr>
          <w:p>
            <w:r>
              <w:t>Email templates stored in ‘Define Notification Templates’ with EN, ES, FR‑CA variants.</w:t>
            </w:r>
          </w:p>
        </w:tc>
      </w:tr>
      <w:tr>
        <w:tc>
          <w:tcPr>
            <w:tcW w:type="dxa" w:w="1516"/>
          </w:tcPr>
          <w:p>
            <w:r>
              <w:t>13</w:t>
            </w:r>
          </w:p>
        </w:tc>
        <w:tc>
          <w:tcPr>
            <w:tcW w:type="dxa" w:w="1516"/>
          </w:tcPr>
          <w:p>
            <w:r>
              <w:t>System</w:t>
            </w:r>
          </w:p>
        </w:tc>
        <w:tc>
          <w:tcPr>
            <w:tcW w:type="dxa" w:w="1516"/>
          </w:tcPr>
          <w:p>
            <w:r>
              <w:t>Record audit trail of the entire workflow (who approved, timestamps, integration responses).</w:t>
            </w:r>
          </w:p>
        </w:tc>
        <w:tc>
          <w:tcPr>
            <w:tcW w:type="dxa" w:w="1516"/>
          </w:tcPr>
          <w:p>
            <w:r>
              <w:t>Oracle HCM – Audit Framework</w:t>
            </w:r>
          </w:p>
        </w:tc>
        <w:tc>
          <w:tcPr>
            <w:tcW w:type="dxa" w:w="1516"/>
          </w:tcPr>
          <w:p>
            <w:r>
              <w:t>Audit records available for compliance reporting.</w:t>
            </w:r>
          </w:p>
        </w:tc>
        <w:tc>
          <w:tcPr>
            <w:tcW w:type="dxa" w:w="1516"/>
          </w:tcPr>
          <w:p>
            <w:r>
              <w:t>Audit data accessible via ‘View Audit History’ task; retained per regulatory requirements.</w:t>
            </w:r>
          </w:p>
        </w:tc>
      </w:tr>
    </w:tbl>
    <w:p>
      <w:r>
        <w:rPr>
          <w:b/>
        </w:rPr>
        <w:t xml:space="preserve">Approval Required: </w:t>
      </w:r>
      <w:r>
        <w:t>Department Manager, HR Manager, Finance Controller, Union Representative (if applicable)</w:t>
      </w:r>
    </w:p>
    <w:p>
      <w:r>
        <w:t>Notes: All configuration objects (Legal Entity, Business Unit, Work Relationship Types, Assignment Types, Language Translations, Approval Rules, Integration Connections) must be created in Setup and Maintenance prior to go‑live. Bilingual UI is enabled through the HCM Experience Design Studio language packs. Real‑time credentialing integration is critical for clinical scheduling compliance.</w:t>
      </w:r>
    </w:p>
    <w:p>
      <w:pPr>
        <w:pStyle w:val="Heading2"/>
      </w:pPr>
      <w:r>
        <w:t>4.1.6 Change Assignment</w:t>
      </w:r>
    </w:p>
    <w:p>
      <w:r>
        <w:t>Module: Core HR  |  Oracle Transaction: Change Assignment</w:t>
      </w:r>
    </w:p>
    <w:p>
      <w:r>
        <w:t>Trigger: Employee/Manager submits a Change Assignment request via the HCM Experience Design Studio self‑service portal.</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Employee or Manager</w:t>
            </w:r>
          </w:p>
        </w:tc>
        <w:tc>
          <w:tcPr>
            <w:tcW w:type="dxa" w:w="1516"/>
          </w:tcPr>
          <w:p>
            <w:r>
              <w:t>Enter Change Assignment request (new Business Unit, Location, Job, or Position) and attach required documents.</w:t>
            </w:r>
          </w:p>
        </w:tc>
        <w:tc>
          <w:tcPr>
            <w:tcW w:type="dxa" w:w="1516"/>
          </w:tcPr>
          <w:p>
            <w:r>
              <w:t>Oracle HCM (HCM Experience Design Studio)</w:t>
            </w:r>
          </w:p>
        </w:tc>
        <w:tc>
          <w:tcPr>
            <w:tcW w:type="dxa" w:w="1516"/>
          </w:tcPr>
          <w:p>
            <w:r>
              <w:t>Draft Assignment Change record is created in the Assignment Workbench.</w:t>
            </w:r>
          </w:p>
        </w:tc>
        <w:tc>
          <w:tcPr>
            <w:tcW w:type="dxa" w:w="1516"/>
          </w:tcPr>
          <w:p>
            <w:r>
              <w:t>Setup and Maintenance task: **Manage Assignment Eligibility Rules** must be configured to validate eligibility before submission.</w:t>
            </w:r>
          </w:p>
        </w:tc>
      </w:tr>
      <w:tr>
        <w:tc>
          <w:tcPr>
            <w:tcW w:type="dxa" w:w="1516"/>
          </w:tcPr>
          <w:p>
            <w:r>
              <w:t>2</w:t>
            </w:r>
          </w:p>
        </w:tc>
        <w:tc>
          <w:tcPr>
            <w:tcW w:type="dxa" w:w="1516"/>
          </w:tcPr>
          <w:p>
            <w:r>
              <w:t>System (Fusion Core HR)</w:t>
            </w:r>
          </w:p>
        </w:tc>
        <w:tc>
          <w:tcPr>
            <w:tcW w:type="dxa" w:w="1516"/>
          </w:tcPr>
          <w:p>
            <w:r>
              <w:t>Run pre‑validation rules (legal entity, work‑rule, union eligibility, language locale).</w:t>
            </w:r>
          </w:p>
        </w:tc>
        <w:tc>
          <w:tcPr>
            <w:tcW w:type="dxa" w:w="1516"/>
          </w:tcPr>
          <w:p>
            <w:r>
              <w:t>Oracle HCM</w:t>
            </w:r>
          </w:p>
        </w:tc>
        <w:tc>
          <w:tcPr>
            <w:tcW w:type="dxa" w:w="1516"/>
          </w:tcPr>
          <w:p>
            <w:r>
              <w:t>If validation fails, request is returned to the submitter with error messages.</w:t>
            </w:r>
          </w:p>
        </w:tc>
        <w:tc>
          <w:tcPr>
            <w:tcW w:type="dxa" w:w="1516"/>
          </w:tcPr>
          <w:p>
            <w:r>
              <w:t>Use **Manage Assignment Validation Rules** (Setup and Maintenance) to enforce multi‑country compliance.</w:t>
            </w:r>
          </w:p>
        </w:tc>
      </w:tr>
      <w:tr>
        <w:tc>
          <w:tcPr>
            <w:tcW w:type="dxa" w:w="1516"/>
          </w:tcPr>
          <w:p>
            <w:r>
              <w:t>3</w:t>
            </w:r>
          </w:p>
        </w:tc>
        <w:tc>
          <w:tcPr>
            <w:tcW w:type="dxa" w:w="1516"/>
          </w:tcPr>
          <w:p>
            <w:r>
              <w:t>Workflow Engine</w:t>
            </w:r>
          </w:p>
        </w:tc>
        <w:tc>
          <w:tcPr>
            <w:tcW w:type="dxa" w:w="1516"/>
          </w:tcPr>
          <w:p>
            <w:r>
              <w:t>Route the request to the configurable multi‑level approval workflow.</w:t>
            </w:r>
          </w:p>
        </w:tc>
        <w:tc>
          <w:tcPr>
            <w:tcW w:type="dxa" w:w="1516"/>
          </w:tcPr>
          <w:p>
            <w:r>
              <w:t>Oracle HCM (Approval Management)</w:t>
            </w:r>
          </w:p>
        </w:tc>
        <w:tc>
          <w:tcPr>
            <w:tcW w:type="dxa" w:w="1516"/>
          </w:tcPr>
          <w:p>
            <w:r>
              <w:t>Approval task is generated for the first approver group.</w:t>
            </w:r>
          </w:p>
        </w:tc>
        <w:tc>
          <w:tcPr>
            <w:tcW w:type="dxa" w:w="1516"/>
          </w:tcPr>
          <w:p>
            <w:r>
              <w:t>Configure via **Manage Approval Rules** – include HR Manager, Business Unit Leader, and Compensation Manager where compensation is impacted.</w:t>
            </w:r>
          </w:p>
        </w:tc>
      </w:tr>
      <w:tr>
        <w:tc>
          <w:tcPr>
            <w:tcW w:type="dxa" w:w="1516"/>
          </w:tcPr>
          <w:p>
            <w:r>
              <w:t>4</w:t>
            </w:r>
          </w:p>
        </w:tc>
        <w:tc>
          <w:tcPr>
            <w:tcW w:type="dxa" w:w="1516"/>
          </w:tcPr>
          <w:p>
            <w:r>
              <w:t>HR Manager (Approver)</w:t>
            </w:r>
          </w:p>
        </w:tc>
        <w:tc>
          <w:tcPr>
            <w:tcW w:type="dxa" w:w="1516"/>
          </w:tcPr>
          <w:p>
            <w:r>
              <w:t>Review assignment details, verify budget, union constraints, and credentialing impact; approve or reject.</w:t>
            </w:r>
          </w:p>
        </w:tc>
        <w:tc>
          <w:tcPr>
            <w:tcW w:type="dxa" w:w="1516"/>
          </w:tcPr>
          <w:p>
            <w:r>
              <w:t>Oracle HCM (Approval Management)</w:t>
            </w:r>
          </w:p>
        </w:tc>
        <w:tc>
          <w:tcPr>
            <w:tcW w:type="dxa" w:w="1516"/>
          </w:tcPr>
          <w:p>
            <w:r>
              <w:t>Decision recorded; if approved, workflow proceeds to next approver; if rejected, request is sent back to submitter.</w:t>
            </w:r>
          </w:p>
        </w:tc>
        <w:tc>
          <w:tcPr>
            <w:tcW w:type="dxa" w:w="1516"/>
          </w:tcPr>
          <w:p>
            <w:r>
              <w:t>Approval notifications can be sent in EN/ES/FR using **Manage Notification Templates**.</w:t>
            </w:r>
          </w:p>
        </w:tc>
      </w:tr>
      <w:tr>
        <w:tc>
          <w:tcPr>
            <w:tcW w:type="dxa" w:w="1516"/>
          </w:tcPr>
          <w:p>
            <w:r>
              <w:t>5</w:t>
            </w:r>
          </w:p>
        </w:tc>
        <w:tc>
          <w:tcPr>
            <w:tcW w:type="dxa" w:w="1516"/>
          </w:tcPr>
          <w:p>
            <w:r>
              <w:t>Business Unit Leader (Approver)</w:t>
            </w:r>
          </w:p>
        </w:tc>
        <w:tc>
          <w:tcPr>
            <w:tcW w:type="dxa" w:w="1516"/>
          </w:tcPr>
          <w:p>
            <w:r>
              <w:t>Confirm operational need and headcount availability; approve or reject.</w:t>
            </w:r>
          </w:p>
        </w:tc>
        <w:tc>
          <w:tcPr>
            <w:tcW w:type="dxa" w:w="1516"/>
          </w:tcPr>
          <w:p>
            <w:r>
              <w:t>Oracle HCM (Approval Management)</w:t>
            </w:r>
          </w:p>
        </w:tc>
        <w:tc>
          <w:tcPr>
            <w:tcW w:type="dxa" w:w="1516"/>
          </w:tcPr>
          <w:p>
            <w:r>
              <w:t>Final approval status is set.</w:t>
            </w:r>
          </w:p>
        </w:tc>
        <w:tc>
          <w:tcPr>
            <w:tcW w:type="dxa" w:w="1516"/>
          </w:tcPr>
          <w:p>
            <w:r>
              <w:t>Leverage **Manage Business Unit Hierarchy** to route to the correct leader per legal entity.</w:t>
            </w:r>
          </w:p>
        </w:tc>
      </w:tr>
      <w:tr>
        <w:tc>
          <w:tcPr>
            <w:tcW w:type="dxa" w:w="1516"/>
          </w:tcPr>
          <w:p>
            <w:r>
              <w:t>6</w:t>
            </w:r>
          </w:p>
        </w:tc>
        <w:tc>
          <w:tcPr>
            <w:tcW w:type="dxa" w:w="1516"/>
          </w:tcPr>
          <w:p>
            <w:r>
              <w:t>Compensation Manager (Conditional Approver)</w:t>
            </w:r>
          </w:p>
        </w:tc>
        <w:tc>
          <w:tcPr>
            <w:tcW w:type="dxa" w:w="1516"/>
          </w:tcPr>
          <w:p>
            <w:r>
              <w:t>If the change includes compensation elements, review salary band and incentive eligibility; approve or reject.</w:t>
            </w:r>
          </w:p>
        </w:tc>
        <w:tc>
          <w:tcPr>
            <w:tcW w:type="dxa" w:w="1516"/>
          </w:tcPr>
          <w:p>
            <w:r>
              <w:t>Oracle HCM (Compensation Management)</w:t>
            </w:r>
          </w:p>
        </w:tc>
        <w:tc>
          <w:tcPr>
            <w:tcW w:type="dxa" w:w="1516"/>
          </w:tcPr>
          <w:p>
            <w:r>
              <w:t>Compensation impact is either accepted or the request is returned for correction.</w:t>
            </w:r>
          </w:p>
        </w:tc>
        <w:tc>
          <w:tcPr>
            <w:tcW w:type="dxa" w:w="1516"/>
          </w:tcPr>
          <w:p>
            <w:r>
              <w:t>Configure **Manage Compensation Plans** and **Manage Compensation Eligibility Rules** for this step.</w:t>
            </w:r>
          </w:p>
        </w:tc>
      </w:tr>
      <w:tr>
        <w:tc>
          <w:tcPr>
            <w:tcW w:type="dxa" w:w="1516"/>
          </w:tcPr>
          <w:p>
            <w:r>
              <w:t>7</w:t>
            </w:r>
          </w:p>
        </w:tc>
        <w:tc>
          <w:tcPr>
            <w:tcW w:type="dxa" w:w="1516"/>
          </w:tcPr>
          <w:p>
            <w:r>
              <w:t>System (Fusion Core HR)</w:t>
            </w:r>
          </w:p>
        </w:tc>
        <w:tc>
          <w:tcPr>
            <w:tcW w:type="dxa" w:w="1516"/>
          </w:tcPr>
          <w:p>
            <w:r>
              <w:t>Create the new Assignment record and deactivate the prior Assignment (effective date logic).</w:t>
            </w:r>
          </w:p>
        </w:tc>
        <w:tc>
          <w:tcPr>
            <w:tcW w:type="dxa" w:w="1516"/>
          </w:tcPr>
          <w:p>
            <w:r>
              <w:t>Oracle HCM</w:t>
            </w:r>
          </w:p>
        </w:tc>
        <w:tc>
          <w:tcPr>
            <w:tcW w:type="dxa" w:w="1516"/>
          </w:tcPr>
          <w:p>
            <w:r>
              <w:t>Employee master now reflects the new Business Unit, Location, Job, and Position.</w:t>
            </w:r>
          </w:p>
        </w:tc>
        <w:tc>
          <w:tcPr>
            <w:tcW w:type="dxa" w:w="1516"/>
          </w:tcPr>
          <w:p>
            <w:r>
              <w:t>Setup and Maintenance task: **Manage Assignments** – ensure “Effective Dating” is enabled for seamless transition.</w:t>
            </w:r>
          </w:p>
        </w:tc>
      </w:tr>
      <w:tr>
        <w:tc>
          <w:tcPr>
            <w:tcW w:type="dxa" w:w="1516"/>
          </w:tcPr>
          <w:p>
            <w:r>
              <w:t>8</w:t>
            </w:r>
          </w:p>
        </w:tc>
        <w:tc>
          <w:tcPr>
            <w:tcW w:type="dxa" w:w="1516"/>
          </w:tcPr>
          <w:p>
            <w:r>
              <w:t>Oracle Integration Cloud (OIC)</w:t>
            </w:r>
          </w:p>
        </w:tc>
        <w:tc>
          <w:tcPr>
            <w:tcW w:type="dxa" w:w="1516"/>
          </w:tcPr>
          <w:p>
            <w:r>
              <w:t>Publish Assignment Change event to downstream systems: ADP (US payroll), Ceridian (Canada payroll), Benefitfocus, and Epic scheduling.</w:t>
            </w:r>
          </w:p>
        </w:tc>
        <w:tc>
          <w:tcPr>
            <w:tcW w:type="dxa" w:w="1516"/>
          </w:tcPr>
          <w:p>
            <w:r>
              <w:t>External System (OIC) → Payroll/Benefits/Epic</w:t>
            </w:r>
          </w:p>
        </w:tc>
        <w:tc>
          <w:tcPr>
            <w:tcW w:type="dxa" w:w="1516"/>
          </w:tcPr>
          <w:p>
            <w:r>
              <w:t>Payroll and benefits records are updated in near‑real time; Epic receives the new provider assignment for scheduling.</w:t>
            </w:r>
          </w:p>
        </w:tc>
        <w:tc>
          <w:tcPr>
            <w:tcW w:type="dxa" w:w="1516"/>
          </w:tcPr>
          <w:p>
            <w:r>
              <w:t>Integration pattern defined in **Manage Integration Connections** – use the “Hire/Transfer/Termination” published event.</w:t>
            </w:r>
          </w:p>
        </w:tc>
      </w:tr>
      <w:tr>
        <w:tc>
          <w:tcPr>
            <w:tcW w:type="dxa" w:w="1516"/>
          </w:tcPr>
          <w:p>
            <w:r>
              <w:t>9</w:t>
            </w:r>
          </w:p>
        </w:tc>
        <w:tc>
          <w:tcPr>
            <w:tcW w:type="dxa" w:w="1516"/>
          </w:tcPr>
          <w:p>
            <w:r>
              <w:t>Oracle Integration Cloud (OIC)</w:t>
            </w:r>
          </w:p>
        </w:tc>
        <w:tc>
          <w:tcPr>
            <w:tcW w:type="dxa" w:w="1516"/>
          </w:tcPr>
          <w:p>
            <w:r>
              <w:t>Call Symplr API to retrieve the latest credentialing status for clinical staff and update the Credentialing Flag on the employee record.</w:t>
            </w:r>
          </w:p>
        </w:tc>
        <w:tc>
          <w:tcPr>
            <w:tcW w:type="dxa" w:w="1516"/>
          </w:tcPr>
          <w:p>
            <w:r>
              <w:t>External System (Symplr) → Oracle HCM</w:t>
            </w:r>
          </w:p>
        </w:tc>
        <w:tc>
          <w:tcPr>
            <w:tcW w:type="dxa" w:w="1516"/>
          </w:tcPr>
          <w:p>
            <w:r>
              <w:t>Credentialing status is synchronized; if not valid, the employee is flagged and a scheduling restriction is applied.</w:t>
            </w:r>
          </w:p>
        </w:tc>
        <w:tc>
          <w:tcPr>
            <w:tcW w:type="dxa" w:w="1516"/>
          </w:tcPr>
          <w:p>
            <w:r>
              <w:t>Configure **Manage Credentialing Integration** – map Symplr status codes to Fusion flag values.</w:t>
            </w:r>
          </w:p>
        </w:tc>
      </w:tr>
      <w:tr>
        <w:tc>
          <w:tcPr>
            <w:tcW w:type="dxa" w:w="1516"/>
          </w:tcPr>
          <w:p>
            <w:r>
              <w:t>10</w:t>
            </w:r>
          </w:p>
        </w:tc>
        <w:tc>
          <w:tcPr>
            <w:tcW w:type="dxa" w:w="1516"/>
          </w:tcPr>
          <w:p>
            <w:r>
              <w:t>System (Fusion Core HR)</w:t>
            </w:r>
          </w:p>
        </w:tc>
        <w:tc>
          <w:tcPr>
            <w:tcW w:type="dxa" w:w="1516"/>
          </w:tcPr>
          <w:p>
            <w:r>
              <w:t>Update language locale on the employee profile based on the new Location (EN/ES/FR).</w:t>
            </w:r>
          </w:p>
        </w:tc>
        <w:tc>
          <w:tcPr>
            <w:tcW w:type="dxa" w:w="1516"/>
          </w:tcPr>
          <w:p>
            <w:r>
              <w:t>Oracle HCM</w:t>
            </w:r>
          </w:p>
        </w:tc>
        <w:tc>
          <w:tcPr>
            <w:tcW w:type="dxa" w:w="1516"/>
          </w:tcPr>
          <w:p>
            <w:r>
              <w:t>Employee UI automatically renders in the appropriate language on next login.</w:t>
            </w:r>
          </w:p>
        </w:tc>
        <w:tc>
          <w:tcPr>
            <w:tcW w:type="dxa" w:w="1516"/>
          </w:tcPr>
          <w:p>
            <w:r>
              <w:t>Use **Manage Language Preferences** – ensure bilingual help content is linked via **Manage Help Content**.</w:t>
            </w:r>
          </w:p>
        </w:tc>
      </w:tr>
      <w:tr>
        <w:tc>
          <w:tcPr>
            <w:tcW w:type="dxa" w:w="1516"/>
          </w:tcPr>
          <w:p>
            <w:r>
              <w:t>11</w:t>
            </w:r>
          </w:p>
        </w:tc>
        <w:tc>
          <w:tcPr>
            <w:tcW w:type="dxa" w:w="1516"/>
          </w:tcPr>
          <w:p>
            <w:r>
              <w:t>System (Fusion Core HR)</w:t>
            </w:r>
          </w:p>
        </w:tc>
        <w:tc>
          <w:tcPr>
            <w:tcW w:type="dxa" w:w="1516"/>
          </w:tcPr>
          <w:p>
            <w:r>
              <w:t>Generate audit log entry and send notification emails to Employee, Manager, Payroll, and IT provisioning teams.</w:t>
            </w:r>
          </w:p>
        </w:tc>
        <w:tc>
          <w:tcPr>
            <w:tcW w:type="dxa" w:w="1516"/>
          </w:tcPr>
          <w:p>
            <w:r>
              <w:t>Oracle HCM (Email) | Oracle HCM (Audit)</w:t>
            </w:r>
          </w:p>
        </w:tc>
        <w:tc>
          <w:tcPr>
            <w:tcW w:type="dxa" w:w="1516"/>
          </w:tcPr>
          <w:p>
            <w:r>
              <w:t>All stakeholders are informed; audit trail is available for compliance reporting.</w:t>
            </w:r>
          </w:p>
        </w:tc>
        <w:tc>
          <w:tcPr>
            <w:tcW w:type="dxa" w:w="1516"/>
          </w:tcPr>
          <w:p>
            <w:r>
              <w:t>Email templates configured in **Manage Notification Templates**; audit captured via **Manage Audit Trail**.</w:t>
            </w:r>
          </w:p>
        </w:tc>
      </w:tr>
    </w:tbl>
    <w:p>
      <w:r>
        <w:rPr>
          <w:b/>
        </w:rPr>
        <w:t xml:space="preserve">Approval Required: </w:t>
      </w:r>
      <w:r>
        <w:t>HR Manager, Business Unit Leader, Compensation Manager (if compensation impacted)</w:t>
      </w:r>
    </w:p>
    <w:p>
      <w:r>
        <w:t>Notes: All configuration artifacts (eligibility rules, approval rules, integration connections, language preferences) must be version‑controlled in HDL – HCM Data Loader for deployment across the four legal entities.  Ensure that the global employee ID (Golden Record) is used as the key in all OIC payloads to maintain the single source of truth.</w:t>
      </w:r>
    </w:p>
    <w:p>
      <w:pPr>
        <w:pStyle w:val="Heading2"/>
      </w:pPr>
      <w:r>
        <w:t>4.1.7 Change Manager</w:t>
      </w:r>
    </w:p>
    <w:p>
      <w:r>
        <w:t>Module: Core HR  |  Oracle Transaction: Change Manager</w:t>
      </w:r>
    </w:p>
    <w:p>
      <w:r>
        <w:t>Trigger: Submission of a Change Request (Hire, Transfer, Promotion, Compensation Change, or Termination) via the HCM Experience Design Studio self‑service UI</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Employee / Hiring Manager</w:t>
            </w:r>
          </w:p>
        </w:tc>
        <w:tc>
          <w:tcPr>
            <w:tcW w:type="dxa" w:w="1516"/>
          </w:tcPr>
          <w:p>
            <w:r>
              <w:t>Enter Change Request details (employee global ID, change type, effective date, supporting documents) and click **Submit**</w:t>
            </w:r>
          </w:p>
        </w:tc>
        <w:tc>
          <w:tcPr>
            <w:tcW w:type="dxa" w:w="1516"/>
          </w:tcPr>
          <w:p>
            <w:r>
              <w:t>Oracle HCM (HCM Experience Design Studio)</w:t>
            </w:r>
          </w:p>
        </w:tc>
        <w:tc>
          <w:tcPr>
            <w:tcW w:type="dxa" w:w="1516"/>
          </w:tcPr>
          <w:p>
            <w:r>
              <w:t>Change Request record created in **PER_PERSON_CHANGE_REQUESTS** table with status = ‘Submitted’</w:t>
            </w:r>
          </w:p>
        </w:tc>
        <w:tc>
          <w:tcPr>
            <w:tcW w:type="dxa" w:w="1516"/>
          </w:tcPr>
          <w:p>
            <w:r>
              <w:t>Configuration: Setup and Maintenance &gt; Workforce Structures &gt; Manage Global Person Numbers – ensures global ID is the golden record. Language translations for field labels are maintained via Setup and Maintenance &gt; Language Settings &gt; Manage Language Translations (EN, ES, FR‑CA).</w:t>
            </w:r>
          </w:p>
        </w:tc>
      </w:tr>
      <w:tr>
        <w:tc>
          <w:tcPr>
            <w:tcW w:type="dxa" w:w="1516"/>
          </w:tcPr>
          <w:p>
            <w:r>
              <w:t>2</w:t>
            </w:r>
          </w:p>
        </w:tc>
        <w:tc>
          <w:tcPr>
            <w:tcW w:type="dxa" w:w="1516"/>
          </w:tcPr>
          <w:p>
            <w:r>
              <w:t>HR Business Partner (HRBP)</w:t>
            </w:r>
          </w:p>
        </w:tc>
        <w:tc>
          <w:tcPr>
            <w:tcW w:type="dxa" w:w="1516"/>
          </w:tcPr>
          <w:p>
            <w:r>
              <w:t>Validate employee master data (legal entity, business unit, job, location) and confirm eligibility for requested change</w:t>
            </w:r>
          </w:p>
        </w:tc>
        <w:tc>
          <w:tcPr>
            <w:tcW w:type="dxa" w:w="1516"/>
          </w:tcPr>
          <w:p>
            <w:r>
              <w:t>Oracle HCM</w:t>
            </w:r>
          </w:p>
        </w:tc>
        <w:tc>
          <w:tcPr>
            <w:tcW w:type="dxa" w:w="1516"/>
          </w:tcPr>
          <w:p>
            <w:r>
              <w:t>If validation passes, status updated to ‘HRBP Approved’; if not, status set to ‘Rejected’ with error notes</w:t>
            </w:r>
          </w:p>
        </w:tc>
        <w:tc>
          <w:tcPr>
            <w:tcW w:type="dxa" w:w="1516"/>
          </w:tcPr>
          <w:p>
            <w:r>
              <w:t>Configuration: Setup and Maintenance &gt; Workforce Structures &gt; Manage Business Units &amp; Manage Legal Entities – used for validation rules. Validation logic defined in **HRBP Approval Workflow** (Setup and Maintenance &gt; Workforce Management &gt; Manage Workflows).</w:t>
            </w:r>
          </w:p>
        </w:tc>
      </w:tr>
      <w:tr>
        <w:tc>
          <w:tcPr>
            <w:tcW w:type="dxa" w:w="1516"/>
          </w:tcPr>
          <w:p>
            <w:r>
              <w:t>3</w:t>
            </w:r>
          </w:p>
        </w:tc>
        <w:tc>
          <w:tcPr>
            <w:tcW w:type="dxa" w:w="1516"/>
          </w:tcPr>
          <w:p>
            <w:r>
              <w:t>Credentialing Integration Service (Symplr)</w:t>
            </w:r>
          </w:p>
        </w:tc>
        <w:tc>
          <w:tcPr>
            <w:tcW w:type="dxa" w:w="1516"/>
          </w:tcPr>
          <w:p>
            <w:r>
              <w:t>Real‑time call to Symplr API to retrieve current credentialing status for clinical employees</w:t>
            </w:r>
          </w:p>
        </w:tc>
        <w:tc>
          <w:tcPr>
            <w:tcW w:type="dxa" w:w="1516"/>
          </w:tcPr>
          <w:p>
            <w:r>
              <w:t>External System (Symplr) via OIC</w:t>
            </w:r>
          </w:p>
        </w:tc>
        <w:tc>
          <w:tcPr>
            <w:tcW w:type="dxa" w:w="1516"/>
          </w:tcPr>
          <w:p>
            <w:r>
              <w:t>Credentialing status stored in **PER_PERSON_CREDENTIALING**; if status = ‘Not Active’, change request flagged and routed to **Credentialing Approver**</w:t>
            </w:r>
          </w:p>
        </w:tc>
        <w:tc>
          <w:tcPr>
            <w:tcW w:type="dxa" w:w="1516"/>
          </w:tcPr>
          <w:p>
            <w:r>
              <w:t>Configuration: Setup and Maintenance &gt; Integration &gt; Manage OIC Integrations – ‘Symplr Credentialing Sync’. Mapping table **PER_PERSON_CREDENTIALING** is populated by HDL – HCM Data Loader if bulk load is required.</w:t>
            </w:r>
          </w:p>
        </w:tc>
      </w:tr>
      <w:tr>
        <w:tc>
          <w:tcPr>
            <w:tcW w:type="dxa" w:w="1516"/>
          </w:tcPr>
          <w:p>
            <w:r>
              <w:t>4</w:t>
            </w:r>
          </w:p>
        </w:tc>
        <w:tc>
          <w:tcPr>
            <w:tcW w:type="dxa" w:w="1516"/>
          </w:tcPr>
          <w:p>
            <w:r>
              <w:t>Compensation Approver (Compensation Manager)</w:t>
            </w:r>
          </w:p>
        </w:tc>
        <w:tc>
          <w:tcPr>
            <w:tcW w:type="dxa" w:w="1516"/>
          </w:tcPr>
          <w:p>
            <w:r>
              <w:t>Review compensation impact (salary, bonus, allowance) and approve or reject</w:t>
            </w:r>
          </w:p>
        </w:tc>
        <w:tc>
          <w:tcPr>
            <w:tcW w:type="dxa" w:w="1516"/>
          </w:tcPr>
          <w:p>
            <w:r>
              <w:t>Oracle HCM</w:t>
            </w:r>
          </w:p>
        </w:tc>
        <w:tc>
          <w:tcPr>
            <w:tcW w:type="dxa" w:w="1516"/>
          </w:tcPr>
          <w:p>
            <w:r>
              <w:t>Status set to ‘Compensation Approved’ or ‘Compensation Rejected’</w:t>
            </w:r>
          </w:p>
        </w:tc>
        <w:tc>
          <w:tcPr>
            <w:tcW w:type="dxa" w:w="1516"/>
          </w:tcPr>
          <w:p>
            <w:r>
              <w:t>Configuration: Setup and Maintenance &gt; Workforce Compensation &gt; Manage Compensation Elements &amp; Plans – defines which elements trigger this approval. Workflow defined in **Compensation Change Workflow** (Setup and Maintenance &gt; Workforce Management &gt; Manage Workflows).</w:t>
            </w:r>
          </w:p>
        </w:tc>
      </w:tr>
      <w:tr>
        <w:tc>
          <w:tcPr>
            <w:tcW w:type="dxa" w:w="1516"/>
          </w:tcPr>
          <w:p>
            <w:r>
              <w:t>5</w:t>
            </w:r>
          </w:p>
        </w:tc>
        <w:tc>
          <w:tcPr>
            <w:tcW w:type="dxa" w:w="1516"/>
          </w:tcPr>
          <w:p>
            <w:r>
              <w:t>Finance Approver (Finance Controller)</w:t>
            </w:r>
          </w:p>
        </w:tc>
        <w:tc>
          <w:tcPr>
            <w:tcW w:type="dxa" w:w="1516"/>
          </w:tcPr>
          <w:p>
            <w:r>
              <w:t>Validate budget availability and cost center alignment</w:t>
            </w:r>
          </w:p>
        </w:tc>
        <w:tc>
          <w:tcPr>
            <w:tcW w:type="dxa" w:w="1516"/>
          </w:tcPr>
          <w:p>
            <w:r>
              <w:t>Oracle HCM</w:t>
            </w:r>
          </w:p>
        </w:tc>
        <w:tc>
          <w:tcPr>
            <w:tcW w:type="dxa" w:w="1516"/>
          </w:tcPr>
          <w:p>
            <w:r>
              <w:t>Status updated to ‘Finance Approved’ or ‘Finance Rejected’</w:t>
            </w:r>
          </w:p>
        </w:tc>
        <w:tc>
          <w:tcPr>
            <w:tcW w:type="dxa" w:w="1516"/>
          </w:tcPr>
          <w:p>
            <w:r>
              <w:t>Configuration: Setup and Maintenance &gt; Financial Management &gt; Manage Cost Centers – cost‑center validation rules are referenced in the workflow.</w:t>
            </w:r>
          </w:p>
        </w:tc>
      </w:tr>
      <w:tr>
        <w:tc>
          <w:tcPr>
            <w:tcW w:type="dxa" w:w="1516"/>
          </w:tcPr>
          <w:p>
            <w:r>
              <w:t>6</w:t>
            </w:r>
          </w:p>
        </w:tc>
        <w:tc>
          <w:tcPr>
            <w:tcW w:type="dxa" w:w="1516"/>
          </w:tcPr>
          <w:p>
            <w:r>
              <w:t>HR Operations Lead</w:t>
            </w:r>
          </w:p>
        </w:tc>
        <w:tc>
          <w:tcPr>
            <w:tcW w:type="dxa" w:w="1516"/>
          </w:tcPr>
          <w:p>
            <w:r>
              <w:t>Final approval of the change request after all prior approvals are satisfied</w:t>
            </w:r>
          </w:p>
        </w:tc>
        <w:tc>
          <w:tcPr>
            <w:tcW w:type="dxa" w:w="1516"/>
          </w:tcPr>
          <w:p>
            <w:r>
              <w:t>Oracle HCM</w:t>
            </w:r>
          </w:p>
        </w:tc>
        <w:tc>
          <w:tcPr>
            <w:tcW w:type="dxa" w:w="1516"/>
          </w:tcPr>
          <w:p>
            <w:r>
              <w:t>Status set to ‘Approved – Ready for Posting’</w:t>
            </w:r>
          </w:p>
        </w:tc>
        <w:tc>
          <w:tcPr>
            <w:tcW w:type="dxa" w:w="1516"/>
          </w:tcPr>
          <w:p>
            <w:r>
              <w:t>Configuration: Setup and Maintenance &gt; Workforce Management &gt; Manage Workflows – **Global Change Manager Workflow** includes conditional routing based on change type and credentialing flag.</w:t>
            </w:r>
          </w:p>
        </w:tc>
      </w:tr>
      <w:tr>
        <w:tc>
          <w:tcPr>
            <w:tcW w:type="dxa" w:w="1516"/>
          </w:tcPr>
          <w:p>
            <w:r>
              <w:t>7</w:t>
            </w:r>
          </w:p>
        </w:tc>
        <w:tc>
          <w:tcPr>
            <w:tcW w:type="dxa" w:w="1516"/>
          </w:tcPr>
          <w:p>
            <w:r>
              <w:t>System (Oracle HCM)</w:t>
            </w:r>
          </w:p>
        </w:tc>
        <w:tc>
          <w:tcPr>
            <w:tcW w:type="dxa" w:w="1516"/>
          </w:tcPr>
          <w:p>
            <w:r>
              <w:t>Post the change to the employee master record (PER_ALL_PEOPLE_F) and generate audit entry in **PER_PERSON_CHANGE_AUDIT**</w:t>
            </w:r>
          </w:p>
        </w:tc>
        <w:tc>
          <w:tcPr>
            <w:tcW w:type="dxa" w:w="1516"/>
          </w:tcPr>
          <w:p>
            <w:r>
              <w:t>Oracle HCM</w:t>
            </w:r>
          </w:p>
        </w:tc>
        <w:tc>
          <w:tcPr>
            <w:tcW w:type="dxa" w:w="1516"/>
          </w:tcPr>
          <w:p>
            <w:r>
              <w:t>Employee master data updated; effective date enforced; audit trail captured</w:t>
            </w:r>
          </w:p>
        </w:tc>
        <w:tc>
          <w:tcPr>
            <w:tcW w:type="dxa" w:w="1516"/>
          </w:tcPr>
          <w:p>
            <w:r>
              <w:t>Configuration: Setup and Maintenance &gt; Workforce Structures &gt; Manage Person Records – ensures that the global person number remains unchanged. Audit logging enabled via Setup and Maintenance &gt; System Administration &gt; Manage Auditing.</w:t>
            </w:r>
          </w:p>
        </w:tc>
      </w:tr>
      <w:tr>
        <w:tc>
          <w:tcPr>
            <w:tcW w:type="dxa" w:w="1516"/>
          </w:tcPr>
          <w:p>
            <w:r>
              <w:t>8</w:t>
            </w:r>
          </w:p>
        </w:tc>
        <w:tc>
          <w:tcPr>
            <w:tcW w:type="dxa" w:w="1516"/>
          </w:tcPr>
          <w:p>
            <w:r>
              <w:t>Oracle Integration Cloud (OIC)</w:t>
            </w:r>
          </w:p>
        </w:tc>
        <w:tc>
          <w:tcPr>
            <w:tcW w:type="dxa" w:w="1516"/>
          </w:tcPr>
          <w:p>
            <w:r>
              <w:t>Publish event‑driven messages (Hire/Transfer/Termination) to downstream systems: ADP (US Payroll), Ceridian (Canada Payroll), Benefitfocus (Benefits), Epic (Clinical Scheduling), IT Service Management (Provisioning)</w:t>
            </w:r>
          </w:p>
        </w:tc>
        <w:tc>
          <w:tcPr>
            <w:tcW w:type="dxa" w:w="1516"/>
          </w:tcPr>
          <w:p>
            <w:r>
              <w:t>OIC</w:t>
            </w:r>
          </w:p>
        </w:tc>
        <w:tc>
          <w:tcPr>
            <w:tcW w:type="dxa" w:w="1516"/>
          </w:tcPr>
          <w:p>
            <w:r>
              <w:t>Relevant downstream systems receive the change payload and process accordingly</w:t>
            </w:r>
          </w:p>
        </w:tc>
        <w:tc>
          <w:tcPr>
            <w:tcW w:type="dxa" w:w="1516"/>
          </w:tcPr>
          <w:p>
            <w:r>
              <w:t>Configuration: Setup and Maintenance &gt; Integration &gt; Manage OIC Integrations – **Change Event Publisher** uses the **HCM Event Hub** (Setup and Maintenance &gt; Integration &gt; Manage Event Hub Subscriptions).</w:t>
            </w:r>
          </w:p>
        </w:tc>
      </w:tr>
      <w:tr>
        <w:tc>
          <w:tcPr>
            <w:tcW w:type="dxa" w:w="1516"/>
          </w:tcPr>
          <w:p>
            <w:r>
              <w:t>9</w:t>
            </w:r>
          </w:p>
        </w:tc>
        <w:tc>
          <w:tcPr>
            <w:tcW w:type="dxa" w:w="1516"/>
          </w:tcPr>
          <w:p>
            <w:r>
              <w:t>Employee / Manager</w:t>
            </w:r>
          </w:p>
        </w:tc>
        <w:tc>
          <w:tcPr>
            <w:tcW w:type="dxa" w:w="1516"/>
          </w:tcPr>
          <w:p>
            <w:r>
              <w:t>Receive notification email with change details and next‑step instructions (e.g., sign new contract, complete onboarding tasks)</w:t>
            </w:r>
          </w:p>
        </w:tc>
        <w:tc>
          <w:tcPr>
            <w:tcW w:type="dxa" w:w="1516"/>
          </w:tcPr>
          <w:p>
            <w:r>
              <w:t>Email</w:t>
            </w:r>
          </w:p>
        </w:tc>
        <w:tc>
          <w:tcPr>
            <w:tcW w:type="dxa" w:w="1516"/>
          </w:tcPr>
          <w:p>
            <w:r>
              <w:t>Stakeholders are informed; tasks appear in HCM Self‑Service Worklist</w:t>
            </w:r>
          </w:p>
        </w:tc>
        <w:tc>
          <w:tcPr>
            <w:tcW w:type="dxa" w:w="1516"/>
          </w:tcPr>
          <w:p>
            <w:r>
              <w:t>Configuration: Setup and Maintenance &gt; Workforce Management &gt; Manage Notifications – email template **CHG_MGR_NOTIFICATION** is multilingual (EN/ES/FR‑CA).</w:t>
            </w:r>
          </w:p>
        </w:tc>
      </w:tr>
    </w:tbl>
    <w:p>
      <w:r>
        <w:rPr>
          <w:b/>
        </w:rPr>
        <w:t xml:space="preserve">Approval Required: </w:t>
      </w:r>
      <w:r>
        <w:t>HR Business Partner, Credentialing Approver (Clinical Operations), Compensation Manager, Finance Controller, HR Operations Lead</w:t>
      </w:r>
    </w:p>
    <w:p>
      <w:r>
        <w:t>Notes: All language‑specific UI labels and help content are maintained via Setup and Maintenance &gt; Language Settings &gt; Manage Language Translations. For bilingual support, the **Language Preference** attribute on the Person record (PER_ALL_PEOPLE_F.LANGUAGE) drives UI rendering. The workflow is version‑controlled; any change to approver hierarchy must be performed in **Setup and Maintenance &gt; Workforce Management &gt; Manage Workflows** and documented in the Change Management Log.</w:t>
      </w:r>
    </w:p>
    <w:p>
      <w:pPr>
        <w:pStyle w:val="Heading2"/>
      </w:pPr>
      <w:r>
        <w:t>4.1.8 Change Location</w:t>
      </w:r>
    </w:p>
    <w:p>
      <w:r>
        <w:t>Module: Core HR  |  Oracle Transaction: Change Location</w:t>
      </w:r>
    </w:p>
    <w:p>
      <w:r>
        <w:t>Trigger: Employee submits a location change request via the Self‑Service portal (HCM Experience Design Studio).</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Employee (Self‑Service User)</w:t>
            </w:r>
          </w:p>
        </w:tc>
        <w:tc>
          <w:tcPr>
            <w:tcW w:type="dxa" w:w="1516"/>
          </w:tcPr>
          <w:p>
            <w:r>
              <w:t>Create a ‘Change Location’ request, select new Location, enter effective date, attach supporting documents, and submit.</w:t>
            </w:r>
          </w:p>
        </w:tc>
        <w:tc>
          <w:tcPr>
            <w:tcW w:type="dxa" w:w="1516"/>
          </w:tcPr>
          <w:p>
            <w:r>
              <w:t>Oracle HCM (HCM Experience Design Studio)</w:t>
            </w:r>
          </w:p>
        </w:tc>
        <w:tc>
          <w:tcPr>
            <w:tcW w:type="dxa" w:w="1516"/>
          </w:tcPr>
          <w:p>
            <w:r>
              <w:t>Request record is created with status **Pending Manager Approval**.</w:t>
            </w:r>
          </w:p>
        </w:tc>
        <w:tc>
          <w:tcPr>
            <w:tcW w:type="dxa" w:w="1516"/>
          </w:tcPr>
          <w:p>
            <w:r>
              <w:t>Configure via **Setup and Maintenance → Manage Employee Self Service**; enable bilingual UI through **Manage Languages** and **Manage Translations** for EN/ES/FR‑CA.</w:t>
            </w:r>
          </w:p>
        </w:tc>
      </w:tr>
      <w:tr>
        <w:tc>
          <w:tcPr>
            <w:tcW w:type="dxa" w:w="1516"/>
          </w:tcPr>
          <w:p>
            <w:r>
              <w:t>2</w:t>
            </w:r>
          </w:p>
        </w:tc>
        <w:tc>
          <w:tcPr>
            <w:tcW w:type="dxa" w:w="1516"/>
          </w:tcPr>
          <w:p>
            <w:r>
              <w:t>Immediate Manager</w:t>
            </w:r>
          </w:p>
        </w:tc>
        <w:tc>
          <w:tcPr>
            <w:tcW w:type="dxa" w:w="1516"/>
          </w:tcPr>
          <w:p>
            <w:r>
              <w:t>Review request details, verify business justification, and approve or reject.</w:t>
            </w:r>
          </w:p>
        </w:tc>
        <w:tc>
          <w:tcPr>
            <w:tcW w:type="dxa" w:w="1516"/>
          </w:tcPr>
          <w:p>
            <w:r>
              <w:t>Oracle HCM (Workforce Structures) + Email notification</w:t>
            </w:r>
          </w:p>
        </w:tc>
        <w:tc>
          <w:tcPr>
            <w:tcW w:type="dxa" w:w="1516"/>
          </w:tcPr>
          <w:p>
            <w:r>
              <w:t>If approved, status changes to **Pending HR Validation**; if rejected, status changes to **Rejected** and employee is notified.</w:t>
            </w:r>
          </w:p>
        </w:tc>
        <w:tc>
          <w:tcPr>
            <w:tcW w:type="dxa" w:w="1516"/>
          </w:tcPr>
          <w:p>
            <w:r>
              <w:t>Approval routing defined in **Setup and Maintenance → Manage Approval Rules for Employee Transfers**. Email template managed via **Manage Notification Templates**.</w:t>
            </w:r>
          </w:p>
        </w:tc>
      </w:tr>
      <w:tr>
        <w:tc>
          <w:tcPr>
            <w:tcW w:type="dxa" w:w="1516"/>
          </w:tcPr>
          <w:p>
            <w:r>
              <w:t>3</w:t>
            </w:r>
          </w:p>
        </w:tc>
        <w:tc>
          <w:tcPr>
            <w:tcW w:type="dxa" w:w="1516"/>
          </w:tcPr>
          <w:p>
            <w:r>
              <w:t>HR Business Partner</w:t>
            </w:r>
          </w:p>
        </w:tc>
        <w:tc>
          <w:tcPr>
            <w:tcW w:type="dxa" w:w="1516"/>
          </w:tcPr>
          <w:p>
            <w:r>
              <w:t>Validate credentialing status by invoking real‑time Symplr integration; confirm that the employee meets location‑specific licensing requirements.</w:t>
            </w:r>
          </w:p>
        </w:tc>
        <w:tc>
          <w:tcPr>
            <w:tcW w:type="dxa" w:w="1516"/>
          </w:tcPr>
          <w:p>
            <w:r>
              <w:t>Oracle Integration Cloud (OIC) → Symplr (External System)</w:t>
            </w:r>
          </w:p>
        </w:tc>
        <w:tc>
          <w:tcPr>
            <w:tcW w:type="dxa" w:w="1516"/>
          </w:tcPr>
          <w:p>
            <w:r>
              <w:t>Credentialing status returned as **Valid** or **Invalid**. Invalid status returns request to manager with comment; Valid status moves request to **Pending HR Update**.</w:t>
            </w:r>
          </w:p>
        </w:tc>
        <w:tc>
          <w:tcPr>
            <w:tcW w:type="dxa" w:w="1516"/>
          </w:tcPr>
          <w:p>
            <w:r>
              <w:t>Integration configured in **Setup and Maintenance → Manage Integration Connections**; use **Manage Integration for Credentialing** pattern.</w:t>
            </w:r>
          </w:p>
        </w:tc>
      </w:tr>
      <w:tr>
        <w:tc>
          <w:tcPr>
            <w:tcW w:type="dxa" w:w="1516"/>
          </w:tcPr>
          <w:p>
            <w:r>
              <w:t>4</w:t>
            </w:r>
          </w:p>
        </w:tc>
        <w:tc>
          <w:tcPr>
            <w:tcW w:type="dxa" w:w="1516"/>
          </w:tcPr>
          <w:p>
            <w:r>
              <w:t>HR Specialist</w:t>
            </w:r>
          </w:p>
        </w:tc>
        <w:tc>
          <w:tcPr>
            <w:tcW w:type="dxa" w:w="1516"/>
          </w:tcPr>
          <w:p>
            <w:r>
              <w:t>Update the employee’s Work Assignment with the new Location and effective date using the UI or HDL (HCM Data Loader).</w:t>
            </w:r>
          </w:p>
        </w:tc>
        <w:tc>
          <w:tcPr>
            <w:tcW w:type="dxa" w:w="1516"/>
          </w:tcPr>
          <w:p>
            <w:r>
              <w:t>Oracle HCM (Work Assignment) | HDL – HCM Data Loader (optional bulk load)</w:t>
            </w:r>
          </w:p>
        </w:tc>
        <w:tc>
          <w:tcPr>
            <w:tcW w:type="dxa" w:w="1516"/>
          </w:tcPr>
          <w:p>
            <w:r>
              <w:t>Employee record now reflects the new Location; Work Assignment status = **Active** with new location hierarchy.</w:t>
            </w:r>
          </w:p>
        </w:tc>
        <w:tc>
          <w:tcPr>
            <w:tcW w:type="dxa" w:w="1516"/>
          </w:tcPr>
          <w:p>
            <w:r>
              <w:t>Location hierarchy must be maintained via **Setup and Maintenance → Manage Locations**. Work Assignment updates use **Manage Work Assignments** task.</w:t>
            </w:r>
          </w:p>
        </w:tc>
      </w:tr>
      <w:tr>
        <w:tc>
          <w:tcPr>
            <w:tcW w:type="dxa" w:w="1516"/>
          </w:tcPr>
          <w:p>
            <w:r>
              <w:t>5</w:t>
            </w:r>
          </w:p>
        </w:tc>
        <w:tc>
          <w:tcPr>
            <w:tcW w:type="dxa" w:w="1516"/>
          </w:tcPr>
          <w:p>
            <w:r>
              <w:t>Payroll Integration Engine (OIC)</w:t>
            </w:r>
          </w:p>
        </w:tc>
        <w:tc>
          <w:tcPr>
            <w:tcW w:type="dxa" w:w="1516"/>
          </w:tcPr>
          <w:p>
            <w:r>
              <w:t>Generate and transmit a location change payload to the appropriate payroll provider (ADP US or Ceridian Canada).</w:t>
            </w:r>
          </w:p>
        </w:tc>
        <w:tc>
          <w:tcPr>
            <w:tcW w:type="dxa" w:w="1516"/>
          </w:tcPr>
          <w:p>
            <w:r>
              <w:t>Oracle Integration Cloud → ADP / Ceridian (External Payroll Systems)</w:t>
            </w:r>
          </w:p>
        </w:tc>
        <w:tc>
          <w:tcPr>
            <w:tcW w:type="dxa" w:w="1516"/>
          </w:tcPr>
          <w:p>
            <w:r>
              <w:t>Payroll master data is updated with the new location code; payroll runs will use correct tax and benefit rules.</w:t>
            </w:r>
          </w:p>
        </w:tc>
        <w:tc>
          <w:tcPr>
            <w:tcW w:type="dxa" w:w="1516"/>
          </w:tcPr>
          <w:p>
            <w:r>
              <w:t>Configure in **Setup and Maintenance → Manage Payroll Interface** and define costing rules via **Define Payroll Costing Rules**.</w:t>
            </w:r>
          </w:p>
        </w:tc>
      </w:tr>
      <w:tr>
        <w:tc>
          <w:tcPr>
            <w:tcW w:type="dxa" w:w="1516"/>
          </w:tcPr>
          <w:p>
            <w:r>
              <w:t>6</w:t>
            </w:r>
          </w:p>
        </w:tc>
        <w:tc>
          <w:tcPr>
            <w:tcW w:type="dxa" w:w="1516"/>
          </w:tcPr>
          <w:p>
            <w:r>
              <w:t>IT Provisioning Service (via OIC)</w:t>
            </w:r>
          </w:p>
        </w:tc>
        <w:tc>
          <w:tcPr>
            <w:tcW w:type="dxa" w:w="1516"/>
          </w:tcPr>
          <w:p>
            <w:r>
              <w:t>Trigger access‑rights update based on the new location (e.g., network segment, clinical application access).</w:t>
            </w:r>
          </w:p>
        </w:tc>
        <w:tc>
          <w:tcPr>
            <w:tcW w:type="dxa" w:w="1516"/>
          </w:tcPr>
          <w:p>
            <w:r>
              <w:t>Oracle Integration Cloud → ITSM / Identity Management (External System)</w:t>
            </w:r>
          </w:p>
        </w:tc>
        <w:tc>
          <w:tcPr>
            <w:tcW w:type="dxa" w:w="1516"/>
          </w:tcPr>
          <w:p>
            <w:r>
              <w:t>User’s system access aligns with the new facility; audit log created.</w:t>
            </w:r>
          </w:p>
        </w:tc>
        <w:tc>
          <w:tcPr>
            <w:tcW w:type="dxa" w:w="1516"/>
          </w:tcPr>
          <w:p>
            <w:r>
              <w:t>Use **Setup and Maintenance → Manage Integration for IT Provisioning**; map Location to Access Profiles.</w:t>
            </w:r>
          </w:p>
        </w:tc>
      </w:tr>
      <w:tr>
        <w:tc>
          <w:tcPr>
            <w:tcW w:type="dxa" w:w="1516"/>
          </w:tcPr>
          <w:p>
            <w:r>
              <w:t>7</w:t>
            </w:r>
          </w:p>
        </w:tc>
        <w:tc>
          <w:tcPr>
            <w:tcW w:type="dxa" w:w="1516"/>
          </w:tcPr>
          <w:p>
            <w:r>
              <w:t>Scheduling Integration (OIC)</w:t>
            </w:r>
          </w:p>
        </w:tc>
        <w:tc>
          <w:tcPr>
            <w:tcW w:type="dxa" w:w="1516"/>
          </w:tcPr>
          <w:p>
            <w:r>
              <w:t>Push the updated location to Epic Scheduling to adjust provider availability and patient assignment rules.</w:t>
            </w:r>
          </w:p>
        </w:tc>
        <w:tc>
          <w:tcPr>
            <w:tcW w:type="dxa" w:w="1516"/>
          </w:tcPr>
          <w:p>
            <w:r>
              <w:t>Oracle Integration Cloud → Epic (External System)</w:t>
            </w:r>
          </w:p>
        </w:tc>
        <w:tc>
          <w:tcPr>
            <w:tcW w:type="dxa" w:w="1516"/>
          </w:tcPr>
          <w:p>
            <w:r>
              <w:t>Epic reflects the employee’s new clinical site; scheduling engine respects location‑specific constraints.</w:t>
            </w:r>
          </w:p>
        </w:tc>
        <w:tc>
          <w:tcPr>
            <w:tcW w:type="dxa" w:w="1516"/>
          </w:tcPr>
          <w:p>
            <w:r>
              <w:t>Integration built using **Setup and Maintenance → Manage Integration for Epic**; ensure location codes are synchronized with Epic’s Facility Master.</w:t>
            </w:r>
          </w:p>
        </w:tc>
      </w:tr>
      <w:tr>
        <w:tc>
          <w:tcPr>
            <w:tcW w:type="dxa" w:w="1516"/>
          </w:tcPr>
          <w:p>
            <w:r>
              <w:t>8</w:t>
            </w:r>
          </w:p>
        </w:tc>
        <w:tc>
          <w:tcPr>
            <w:tcW w:type="dxa" w:w="1516"/>
          </w:tcPr>
          <w:p>
            <w:r>
              <w:t>System (Automated)</w:t>
            </w:r>
          </w:p>
        </w:tc>
        <w:tc>
          <w:tcPr>
            <w:tcW w:type="dxa" w:w="1516"/>
          </w:tcPr>
          <w:p>
            <w:r>
              <w:t>Send confirmation email to Employee, Manager, and HR Business Partner with a summary of the change and effective date.</w:t>
            </w:r>
          </w:p>
        </w:tc>
        <w:tc>
          <w:tcPr>
            <w:tcW w:type="dxa" w:w="1516"/>
          </w:tcPr>
          <w:p>
            <w:r>
              <w:t>Email (Oracle Notification Service)</w:t>
            </w:r>
          </w:p>
        </w:tc>
        <w:tc>
          <w:tcPr>
            <w:tcW w:type="dxa" w:w="1516"/>
          </w:tcPr>
          <w:p>
            <w:r>
              <w:t>All stakeholders receive a formal record of the location change; request status set to **Completed**.</w:t>
            </w:r>
          </w:p>
        </w:tc>
        <w:tc>
          <w:tcPr>
            <w:tcW w:type="dxa" w:w="1516"/>
          </w:tcPr>
          <w:p>
            <w:r>
              <w:t>Email template managed via **Setup and Maintenance → Manage Notification Templates**; include bilingual content using language‑specific templates.</w:t>
            </w:r>
          </w:p>
        </w:tc>
      </w:tr>
    </w:tbl>
    <w:p>
      <w:r>
        <w:rPr>
          <w:b/>
        </w:rPr>
        <w:t xml:space="preserve">Approval Required: </w:t>
      </w:r>
      <w:r>
        <w:t>Immediate Manager, HR Business Partner, Compliance Officer (Credentialing)</w:t>
      </w:r>
    </w:p>
    <w:p>
      <w:r>
        <w:t>Notes: All steps are designed to support Meridian Health Systems’ multi‑country, bilingual environment and to satisfy strict healthcare compliance. Ensure that the Location hierarchy includes country, legal entity, business unit, and facility levels to enable accurate payroll, benefits, and credentialing routing. Leverage OIC event‑driven architecture for real‑time propagation to ADP, Ceridian, Symplr, and Epic.</w:t>
      </w:r>
    </w:p>
    <w:p>
      <w:pPr>
        <w:pStyle w:val="Heading2"/>
      </w:pPr>
      <w:r>
        <w:t>4.1.9 Transfer</w:t>
      </w:r>
    </w:p>
    <w:p>
      <w:r>
        <w:t>Module: Core HR  |  Oracle Transaction: Transfer</w:t>
      </w:r>
    </w:p>
    <w:p>
      <w:r>
        <w:t>Trigger: HR Business Partner or Manager initiates a Transfer request for an existing employee in the HCM Experience Design Studio (EN/ES/FR UI).</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Business Partner / Manager</w:t>
            </w:r>
          </w:p>
        </w:tc>
        <w:tc>
          <w:tcPr>
            <w:tcW w:type="dxa" w:w="1516"/>
          </w:tcPr>
          <w:p>
            <w:r>
              <w:t>Create Transfer request and select target Business Unit, Legal Entity, Location, Position, and effective date.</w:t>
            </w:r>
          </w:p>
        </w:tc>
        <w:tc>
          <w:tcPr>
            <w:tcW w:type="dxa" w:w="1516"/>
          </w:tcPr>
          <w:p>
            <w:r>
              <w:t>Oracle HCM (HCM Experience Design Studio)</w:t>
            </w:r>
          </w:p>
        </w:tc>
        <w:tc>
          <w:tcPr>
            <w:tcW w:type="dxa" w:w="1516"/>
          </w:tcPr>
          <w:p>
            <w:r>
              <w:t>Transfer draft record persisted with global employee ID as golden record.</w:t>
            </w:r>
          </w:p>
        </w:tc>
        <w:tc>
          <w:tcPr>
            <w:tcW w:type="dxa" w:w="1516"/>
          </w:tcPr>
          <w:p>
            <w:r>
              <w:t>Configure bilingual UI via Setup and Maintenance task **Manage Languages**; enable language‑specific help via **Manage Help Content**.</w:t>
            </w:r>
          </w:p>
        </w:tc>
      </w:tr>
      <w:tr>
        <w:tc>
          <w:tcPr>
            <w:tcW w:type="dxa" w:w="1516"/>
          </w:tcPr>
          <w:p>
            <w:r>
              <w:t>2</w:t>
            </w:r>
          </w:p>
        </w:tc>
        <w:tc>
          <w:tcPr>
            <w:tcW w:type="dxa" w:w="1516"/>
          </w:tcPr>
          <w:p>
            <w:r>
              <w:t>System (Fast Formula)</w:t>
            </w:r>
          </w:p>
        </w:tc>
        <w:tc>
          <w:tcPr>
            <w:tcW w:type="dxa" w:w="1516"/>
          </w:tcPr>
          <w:p>
            <w:r>
              <w:t>Execute eligibility Fast Formula **TF_TransferEligibility**.</w:t>
            </w:r>
          </w:p>
        </w:tc>
        <w:tc>
          <w:tcPr>
            <w:tcW w:type="dxa" w:w="1516"/>
          </w:tcPr>
          <w:p>
            <w:r>
              <w:t>Oracle HCM</w:t>
            </w:r>
          </w:p>
        </w:tc>
        <w:tc>
          <w:tcPr>
            <w:tcW w:type="dxa" w:w="1516"/>
          </w:tcPr>
          <w:p>
            <w:r>
              <w:t>Eligibility flag (Eligible / Ineligible) returned; Ineligible transfers are blocked with error message.</w:t>
            </w:r>
          </w:p>
        </w:tc>
        <w:tc>
          <w:tcPr>
            <w:tcW w:type="dxa" w:w="1516"/>
          </w:tcPr>
          <w:p>
            <w:r>
              <w:t>Fast Formula created/maintained in **Setup and Maintenance → Manage Fast Formulas**.</w:t>
            </w:r>
          </w:p>
        </w:tc>
      </w:tr>
      <w:tr>
        <w:tc>
          <w:tcPr>
            <w:tcW w:type="dxa" w:w="1516"/>
          </w:tcPr>
          <w:p>
            <w:r>
              <w:t>3</w:t>
            </w:r>
          </w:p>
        </w:tc>
        <w:tc>
          <w:tcPr>
            <w:tcW w:type="dxa" w:w="1516"/>
          </w:tcPr>
          <w:p>
            <w:r>
              <w:t>OIC Integration Service</w:t>
            </w:r>
          </w:p>
        </w:tc>
        <w:tc>
          <w:tcPr>
            <w:tcW w:type="dxa" w:w="1516"/>
          </w:tcPr>
          <w:p>
            <w:r>
              <w:t>Call Symplr API to retrieve current credentialing status for clinical staff.</w:t>
            </w:r>
          </w:p>
        </w:tc>
        <w:tc>
          <w:tcPr>
            <w:tcW w:type="dxa" w:w="1516"/>
          </w:tcPr>
          <w:p>
            <w:r>
              <w:t>Oracle Integration Cloud (OIC) ↔ Symplr</w:t>
            </w:r>
          </w:p>
        </w:tc>
        <w:tc>
          <w:tcPr>
            <w:tcW w:type="dxa" w:w="1516"/>
          </w:tcPr>
          <w:p>
            <w:r>
              <w:t>Credentialing Status (Active, Expired, Pending) stored in custom HCM attribute **Credentialing_Status**.</w:t>
            </w:r>
          </w:p>
        </w:tc>
        <w:tc>
          <w:tcPr>
            <w:tcW w:type="dxa" w:w="1516"/>
          </w:tcPr>
          <w:p>
            <w:r>
              <w:t>Integration mapped in **Setup and Maintenance → Manage Integration Connections**; schedule set to **Event‑Driven** on Transfer request creation.</w:t>
            </w:r>
          </w:p>
        </w:tc>
      </w:tr>
      <w:tr>
        <w:tc>
          <w:tcPr>
            <w:tcW w:type="dxa" w:w="1516"/>
          </w:tcPr>
          <w:p>
            <w:r>
              <w:t>4</w:t>
            </w:r>
          </w:p>
        </w:tc>
        <w:tc>
          <w:tcPr>
            <w:tcW w:type="dxa" w:w="1516"/>
          </w:tcPr>
          <w:p>
            <w:r>
              <w:t>Approval Engine</w:t>
            </w:r>
          </w:p>
        </w:tc>
        <w:tc>
          <w:tcPr>
            <w:tcW w:type="dxa" w:w="1516"/>
          </w:tcPr>
          <w:p>
            <w:r>
              <w:t>Route Transfer request through configurable multi‑level approval workflow.</w:t>
            </w:r>
          </w:p>
        </w:tc>
        <w:tc>
          <w:tcPr>
            <w:tcW w:type="dxa" w:w="1516"/>
          </w:tcPr>
          <w:p>
            <w:r>
              <w:t>Oracle HCM (Approval Management)</w:t>
            </w:r>
          </w:p>
        </w:tc>
        <w:tc>
          <w:tcPr>
            <w:tcW w:type="dxa" w:w="1516"/>
          </w:tcPr>
          <w:p>
            <w:r>
              <w:t>Request moves to **Approved** or **Rejected** status.</w:t>
            </w:r>
          </w:p>
        </w:tc>
        <w:tc>
          <w:tcPr>
            <w:tcW w:type="dxa" w:w="1516"/>
          </w:tcPr>
          <w:p>
            <w:r>
              <w:t>Workflow defined in **Setup and Maintenance → Manage Approval Rules**; approver hierarchy: Department Manager → Legal Entity HR Manager → Compensation Manager → Union Representative (if unionized).</w:t>
            </w:r>
          </w:p>
        </w:tc>
      </w:tr>
      <w:tr>
        <w:tc>
          <w:tcPr>
            <w:tcW w:type="dxa" w:w="1516"/>
          </w:tcPr>
          <w:p>
            <w:r>
              <w:t>5</w:t>
            </w:r>
          </w:p>
        </w:tc>
        <w:tc>
          <w:tcPr>
            <w:tcW w:type="dxa" w:w="1516"/>
          </w:tcPr>
          <w:p>
            <w:r>
              <w:t>System (HR Data Loader)</w:t>
            </w:r>
          </w:p>
        </w:tc>
        <w:tc>
          <w:tcPr>
            <w:tcW w:type="dxa" w:w="1516"/>
          </w:tcPr>
          <w:p>
            <w:r>
              <w:t>Update employee assignment records (PER_ALL_ASSIGNMENTS_F) with new Business Unit, Legal Entity, Location, and Position.</w:t>
            </w:r>
          </w:p>
        </w:tc>
        <w:tc>
          <w:tcPr>
            <w:tcW w:type="dxa" w:w="1516"/>
          </w:tcPr>
          <w:p>
            <w:r>
              <w:t>Oracle HCM</w:t>
            </w:r>
          </w:p>
        </w:tc>
        <w:tc>
          <w:tcPr>
            <w:tcW w:type="dxa" w:w="1516"/>
          </w:tcPr>
          <w:p>
            <w:r>
              <w:t>Effective assignment reflects new org structure as of the transfer effective date.</w:t>
            </w:r>
          </w:p>
        </w:tc>
        <w:tc>
          <w:tcPr>
            <w:tcW w:type="dxa" w:w="1516"/>
          </w:tcPr>
          <w:p>
            <w:r>
              <w:t>Use **HDL – HCM Data Loader** with load file type **Assignment**; mapping maintained in **Setup and Maintenance → Manage Data Loaders**.</w:t>
            </w:r>
          </w:p>
        </w:tc>
      </w:tr>
      <w:tr>
        <w:tc>
          <w:tcPr>
            <w:tcW w:type="dxa" w:w="1516"/>
          </w:tcPr>
          <w:p>
            <w:r>
              <w:t>6</w:t>
            </w:r>
          </w:p>
        </w:tc>
        <w:tc>
          <w:tcPr>
            <w:tcW w:type="dxa" w:w="1516"/>
          </w:tcPr>
          <w:p>
            <w:r>
              <w:t>Compensation Manager (if compensation changes)</w:t>
            </w:r>
          </w:p>
        </w:tc>
        <w:tc>
          <w:tcPr>
            <w:tcW w:type="dxa" w:w="1516"/>
          </w:tcPr>
          <w:p>
            <w:r>
              <w:t>Create/adjust compensation elements using Compensation Management.</w:t>
            </w:r>
          </w:p>
        </w:tc>
        <w:tc>
          <w:tcPr>
            <w:tcW w:type="dxa" w:w="1516"/>
          </w:tcPr>
          <w:p>
            <w:r>
              <w:t>Oracle HCM (Compensation)</w:t>
            </w:r>
          </w:p>
        </w:tc>
        <w:tc>
          <w:tcPr>
            <w:tcW w:type="dxa" w:w="1516"/>
          </w:tcPr>
          <w:p>
            <w:r>
              <w:t>New compensation plan elements linked to the assignment.</w:t>
            </w:r>
          </w:p>
        </w:tc>
        <w:tc>
          <w:tcPr>
            <w:tcW w:type="dxa" w:w="1516"/>
          </w:tcPr>
          <w:p>
            <w:r>
              <w:t>Compensation plans configured via **Setup and Maintenance → Manage Compensation Plans**.</w:t>
            </w:r>
          </w:p>
        </w:tc>
      </w:tr>
      <w:tr>
        <w:tc>
          <w:tcPr>
            <w:tcW w:type="dxa" w:w="1516"/>
          </w:tcPr>
          <w:p>
            <w:r>
              <w:t>7</w:t>
            </w:r>
          </w:p>
        </w:tc>
        <w:tc>
          <w:tcPr>
            <w:tcW w:type="dxa" w:w="1516"/>
          </w:tcPr>
          <w:p>
            <w:r>
              <w:t>OIC Payroll Integration</w:t>
            </w:r>
          </w:p>
        </w:tc>
        <w:tc>
          <w:tcPr>
            <w:tcW w:type="dxa" w:w="1516"/>
          </w:tcPr>
          <w:p>
            <w:r>
              <w:t>Push updated employee payroll data to the appropriate payroll provider (ADP US or Ceridian Canada) based on new Legal Entity.</w:t>
            </w:r>
          </w:p>
        </w:tc>
        <w:tc>
          <w:tcPr>
            <w:tcW w:type="dxa" w:w="1516"/>
          </w:tcPr>
          <w:p>
            <w:r>
              <w:t>Oracle Integration Cloud ↔ ADP / Ceridian</w:t>
            </w:r>
          </w:p>
        </w:tc>
        <w:tc>
          <w:tcPr>
            <w:tcW w:type="dxa" w:w="1516"/>
          </w:tcPr>
          <w:p>
            <w:r>
              <w:t>Payroll system reflects new payroll jurisdiction, salary, and tax details.</w:t>
            </w:r>
          </w:p>
        </w:tc>
        <w:tc>
          <w:tcPr>
            <w:tcW w:type="dxa" w:w="1516"/>
          </w:tcPr>
          <w:p>
            <w:r>
              <w:t>Payroll interfaces set up in **Setup and Maintenance → Manage Payroll Interface**; routing logic defined in **Payroll Provider Mapping**.</w:t>
            </w:r>
          </w:p>
        </w:tc>
      </w:tr>
      <w:tr>
        <w:tc>
          <w:tcPr>
            <w:tcW w:type="dxa" w:w="1516"/>
          </w:tcPr>
          <w:p>
            <w:r>
              <w:t>8</w:t>
            </w:r>
          </w:p>
        </w:tc>
        <w:tc>
          <w:tcPr>
            <w:tcW w:type="dxa" w:w="1516"/>
          </w:tcPr>
          <w:p>
            <w:r>
              <w:t>OIC IT Provisioning</w:t>
            </w:r>
          </w:p>
        </w:tc>
        <w:tc>
          <w:tcPr>
            <w:tcW w:type="dxa" w:w="1516"/>
          </w:tcPr>
          <w:p>
            <w:r>
              <w:t>Send provisioning request to ITSM for access rights (clinical systems, EHR, network).</w:t>
            </w:r>
          </w:p>
        </w:tc>
        <w:tc>
          <w:tcPr>
            <w:tcW w:type="dxa" w:w="1516"/>
          </w:tcPr>
          <w:p>
            <w:r>
              <w:t>Oracle Integration Cloud ↔ ITSM</w:t>
            </w:r>
          </w:p>
        </w:tc>
        <w:tc>
          <w:tcPr>
            <w:tcW w:type="dxa" w:w="1516"/>
          </w:tcPr>
          <w:p>
            <w:r>
              <w:t>User accounts updated per new location and role.</w:t>
            </w:r>
          </w:p>
        </w:tc>
        <w:tc>
          <w:tcPr>
            <w:tcW w:type="dxa" w:w="1516"/>
          </w:tcPr>
          <w:p>
            <w:r>
              <w:t>Provisioning service defined in **Setup and Maintenance → Manage Integration Connections → IT Provisioning**.</w:t>
            </w:r>
          </w:p>
        </w:tc>
      </w:tr>
      <w:tr>
        <w:tc>
          <w:tcPr>
            <w:tcW w:type="dxa" w:w="1516"/>
          </w:tcPr>
          <w:p>
            <w:r>
              <w:t>9</w:t>
            </w:r>
          </w:p>
        </w:tc>
        <w:tc>
          <w:tcPr>
            <w:tcW w:type="dxa" w:w="1516"/>
          </w:tcPr>
          <w:p>
            <w:r>
              <w:t>OIC Epic Integration</w:t>
            </w:r>
          </w:p>
        </w:tc>
        <w:tc>
          <w:tcPr>
            <w:tcW w:type="dxa" w:w="1516"/>
          </w:tcPr>
          <w:p>
            <w:r>
              <w:t>Transmit provider schedule eligibility to Epic Scheduling using the latest credentialing flag.</w:t>
            </w:r>
          </w:p>
        </w:tc>
        <w:tc>
          <w:tcPr>
            <w:tcW w:type="dxa" w:w="1516"/>
          </w:tcPr>
          <w:p>
            <w:r>
              <w:t>Oracle Integration Cloud ↔ Epic</w:t>
            </w:r>
          </w:p>
        </w:tc>
        <w:tc>
          <w:tcPr>
            <w:tcW w:type="dxa" w:w="1516"/>
          </w:tcPr>
          <w:p>
            <w:r>
              <w:t>Provider appears in Epic with correct location and credential status; scheduling rules enforced.</w:t>
            </w:r>
          </w:p>
        </w:tc>
        <w:tc>
          <w:tcPr>
            <w:tcW w:type="dxa" w:w="1516"/>
          </w:tcPr>
          <w:p>
            <w:r>
              <w:t>Epic interface configured in **Setup and Maintenance → Manage Integration Connections → Epic Scheduling**.</w:t>
            </w:r>
          </w:p>
        </w:tc>
      </w:tr>
      <w:tr>
        <w:tc>
          <w:tcPr>
            <w:tcW w:type="dxa" w:w="1516"/>
          </w:tcPr>
          <w:p>
            <w:r>
              <w:t>10</w:t>
            </w:r>
          </w:p>
        </w:tc>
        <w:tc>
          <w:tcPr>
            <w:tcW w:type="dxa" w:w="1516"/>
          </w:tcPr>
          <w:p>
            <w:r>
              <w:t>System (Notification Engine)</w:t>
            </w:r>
          </w:p>
        </w:tc>
        <w:tc>
          <w:tcPr>
            <w:tcW w:type="dxa" w:w="1516"/>
          </w:tcPr>
          <w:p>
            <w:r>
              <w:t>Generate email and in‑application notifications in employee’s preferred language (EN, ES, FR).</w:t>
            </w:r>
          </w:p>
        </w:tc>
        <w:tc>
          <w:tcPr>
            <w:tcW w:type="dxa" w:w="1516"/>
          </w:tcPr>
          <w:p>
            <w:r>
              <w:t>Oracle HCM (Notification) | Email</w:t>
            </w:r>
          </w:p>
        </w:tc>
        <w:tc>
          <w:tcPr>
            <w:tcW w:type="dxa" w:w="1516"/>
          </w:tcPr>
          <w:p>
            <w:r>
              <w:t>Employee and all approvers receive confirmation of transfer status.</w:t>
            </w:r>
          </w:p>
        </w:tc>
        <w:tc>
          <w:tcPr>
            <w:tcW w:type="dxa" w:w="1516"/>
          </w:tcPr>
          <w:p>
            <w:r>
              <w:t>Notification templates managed via **Setup and Maintenance → Manage Notification Templates**; language selection driven by employee’s **Preferred Language** attribute.</w:t>
            </w:r>
          </w:p>
        </w:tc>
      </w:tr>
      <w:tr>
        <w:tc>
          <w:tcPr>
            <w:tcW w:type="dxa" w:w="1516"/>
          </w:tcPr>
          <w:p>
            <w:r>
              <w:t>11</w:t>
            </w:r>
          </w:p>
        </w:tc>
        <w:tc>
          <w:tcPr>
            <w:tcW w:type="dxa" w:w="1516"/>
          </w:tcPr>
          <w:p>
            <w:r>
              <w:t>System (Audit)</w:t>
            </w:r>
          </w:p>
        </w:tc>
        <w:tc>
          <w:tcPr>
            <w:tcW w:type="dxa" w:w="1516"/>
          </w:tcPr>
          <w:p>
            <w:r>
              <w:t>Record Transfer transaction in audit tables.</w:t>
            </w:r>
          </w:p>
        </w:tc>
        <w:tc>
          <w:tcPr>
            <w:tcW w:type="dxa" w:w="1516"/>
          </w:tcPr>
          <w:p>
            <w:r>
              <w:t>Oracle HCM (FND_AUDIT_TRAIL)</w:t>
            </w:r>
          </w:p>
        </w:tc>
        <w:tc>
          <w:tcPr>
            <w:tcW w:type="dxa" w:w="1516"/>
          </w:tcPr>
          <w:p>
            <w:r>
              <w:t>Immutable audit trail available for compliance reporting.</w:t>
            </w:r>
          </w:p>
        </w:tc>
        <w:tc>
          <w:tcPr>
            <w:tcW w:type="dxa" w:w="1516"/>
          </w:tcPr>
          <w:p>
            <w:r>
              <w:t>Audit logging enabled through **Setup and Maintenance → Manage Audit Settings**.</w:t>
            </w:r>
          </w:p>
        </w:tc>
      </w:tr>
    </w:tbl>
    <w:p>
      <w:r>
        <w:rPr>
          <w:b/>
        </w:rPr>
        <w:t xml:space="preserve">Approval Required: </w:t>
      </w:r>
      <w:r>
        <w:t>Department Manager, Legal Entity HR Manager, Compensation Manager, Union Representative (if applicable)</w:t>
      </w:r>
    </w:p>
    <w:p>
      <w:r>
        <w:t>Notes: All configuration objects (Fast Formulas, Approval Rules, Languages, Integration Connections, Payroll Interfaces) must be version‑controlled and tested in the Integration sandbox before promotion to Production.  Ensure that the global employee ID (Person Number) is used as the key across all OIC payloads to maintain the single source of truth.</w:t>
      </w:r>
    </w:p>
    <w:p>
      <w:pPr>
        <w:pStyle w:val="Heading2"/>
      </w:pPr>
      <w:r>
        <w:t>4.1.10 Promote</w:t>
      </w:r>
    </w:p>
    <w:p>
      <w:r>
        <w:t>Module: Core HR  |  Oracle Transaction: Promote</w:t>
      </w:r>
    </w:p>
    <w:p>
      <w:r>
        <w:t>Trigger: Initiated by authorised user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Initiate transaction</w:t>
            </w:r>
          </w:p>
        </w:tc>
        <w:tc>
          <w:tcPr>
            <w:tcW w:type="dxa" w:w="1516"/>
          </w:tcPr>
          <w:p>
            <w:r>
              <w:t>Oracle HCM</w:t>
            </w:r>
          </w:p>
        </w:tc>
        <w:tc>
          <w:tcPr>
            <w:tcW w:type="dxa" w:w="1516"/>
          </w:tcPr>
          <w:p>
            <w:r>
              <w:t>Transaction started</w:t>
            </w:r>
          </w:p>
        </w:tc>
        <w:tc>
          <w:tcPr>
            <w:tcW w:type="dxa" w:w="1516"/>
          </w:tcPr>
          <w:p>
            <w:r/>
          </w:p>
        </w:tc>
      </w:tr>
      <w:tr>
        <w:tc>
          <w:tcPr>
            <w:tcW w:type="dxa" w:w="1516"/>
          </w:tcPr>
          <w:p>
            <w:r>
              <w:t>2</w:t>
            </w:r>
          </w:p>
        </w:tc>
        <w:tc>
          <w:tcPr>
            <w:tcW w:type="dxa" w:w="1516"/>
          </w:tcPr>
          <w:p>
            <w:r>
              <w:t>Manager</w:t>
            </w:r>
          </w:p>
        </w:tc>
        <w:tc>
          <w:tcPr>
            <w:tcW w:type="dxa" w:w="1516"/>
          </w:tcPr>
          <w:p>
            <w:r>
              <w:t>Review and approve</w:t>
            </w:r>
          </w:p>
        </w:tc>
        <w:tc>
          <w:tcPr>
            <w:tcW w:type="dxa" w:w="1516"/>
          </w:tcPr>
          <w:p>
            <w:r>
              <w:t>Oracle HCM – Worklist</w:t>
            </w:r>
          </w:p>
        </w:tc>
        <w:tc>
          <w:tcPr>
            <w:tcW w:type="dxa" w:w="1516"/>
          </w:tcPr>
          <w:p>
            <w:r>
              <w:t>Approved/Rejected</w:t>
            </w:r>
          </w:p>
        </w:tc>
        <w:tc>
          <w:tcPr>
            <w:tcW w:type="dxa" w:w="1516"/>
          </w:tcPr>
          <w:p>
            <w:r/>
          </w:p>
        </w:tc>
      </w:tr>
      <w:tr>
        <w:tc>
          <w:tcPr>
            <w:tcW w:type="dxa" w:w="1516"/>
          </w:tcPr>
          <w:p>
            <w:r>
              <w:t>3</w:t>
            </w:r>
          </w:p>
        </w:tc>
        <w:tc>
          <w:tcPr>
            <w:tcW w:type="dxa" w:w="1516"/>
          </w:tcPr>
          <w:p>
            <w:r>
              <w:t>HR Specialist</w:t>
            </w:r>
          </w:p>
        </w:tc>
        <w:tc>
          <w:tcPr>
            <w:tcW w:type="dxa" w:w="1516"/>
          </w:tcPr>
          <w:p>
            <w:r>
              <w:t>Confirm completion</w:t>
            </w:r>
          </w:p>
        </w:tc>
        <w:tc>
          <w:tcPr>
            <w:tcW w:type="dxa" w:w="1516"/>
          </w:tcPr>
          <w:p>
            <w:r>
              <w:t>Oracle HCM</w:t>
            </w:r>
          </w:p>
        </w:tc>
        <w:tc>
          <w:tcPr>
            <w:tcW w:type="dxa" w:w="1516"/>
          </w:tcPr>
          <w:p>
            <w:r>
              <w:t>Record updated</w:t>
            </w:r>
          </w:p>
        </w:tc>
        <w:tc>
          <w:tcPr>
            <w:tcW w:type="dxa" w:w="1516"/>
          </w:tcPr>
          <w:p>
            <w:r/>
          </w:p>
        </w:tc>
      </w:tr>
    </w:tbl>
    <w:p>
      <w:r>
        <w:rPr>
          <w:b/>
        </w:rPr>
        <w:t xml:space="preserve">Approval Required: </w:t>
      </w:r>
      <w:r>
        <w:t>Line Manager</w:t>
      </w:r>
    </w:p>
    <w:p>
      <w:r>
        <w:t>Notes: Detailed flow to be confirmed during process workshops.</w:t>
      </w:r>
    </w:p>
    <w:p>
      <w:pPr>
        <w:pStyle w:val="Heading2"/>
      </w:pPr>
      <w:r>
        <w:t>4.1.11 Terminate Work Relationship</w:t>
      </w:r>
    </w:p>
    <w:p>
      <w:r>
        <w:t>Module: Core HR  |  Oracle Transaction: Terminate</w:t>
      </w:r>
    </w:p>
    <w:p>
      <w:r>
        <w:t>Trigger: Manager or HR Representative initiates a termination request from the employee’s Person Record in HCM Experience Design Studio (Self‑Service).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 HR Representative</w:t>
            </w:r>
          </w:p>
        </w:tc>
        <w:tc>
          <w:tcPr>
            <w:tcW w:type="dxa" w:w="1516"/>
          </w:tcPr>
          <w:p>
            <w:r>
              <w:t>Open employee Person Record → Click **Terminate** action button.</w:t>
            </w:r>
          </w:p>
        </w:tc>
        <w:tc>
          <w:tcPr>
            <w:tcW w:type="dxa" w:w="1516"/>
          </w:tcPr>
          <w:p>
            <w:r>
              <w:t>Oracle HCM (HCM Experience Design Studio)</w:t>
            </w:r>
          </w:p>
        </w:tc>
        <w:tc>
          <w:tcPr>
            <w:tcW w:type="dxa" w:w="1516"/>
          </w:tcPr>
          <w:p>
            <w:r>
              <w:t>Termination transaction screen is displayed with pre‑populated employee data.</w:t>
            </w:r>
          </w:p>
        </w:tc>
        <w:tc>
          <w:tcPr>
            <w:tcW w:type="dxa" w:w="1516"/>
          </w:tcPr>
          <w:p>
            <w:r>
              <w:t>Setup task: **Manage Person Management** – ensure ‘Terminate’ action is enabled for the relevant Business Unit and Legal Entity.</w:t>
            </w:r>
          </w:p>
        </w:tc>
      </w:tr>
      <w:tr>
        <w:tc>
          <w:tcPr>
            <w:tcW w:type="dxa" w:w="1516"/>
          </w:tcPr>
          <w:p>
            <w:r>
              <w:t>2</w:t>
            </w:r>
          </w:p>
        </w:tc>
        <w:tc>
          <w:tcPr>
            <w:tcW w:type="dxa" w:w="1516"/>
          </w:tcPr>
          <w:p>
            <w:r>
              <w:t>System</w:t>
            </w:r>
          </w:p>
        </w:tc>
        <w:tc>
          <w:tcPr>
            <w:tcW w:type="dxa" w:w="1516"/>
          </w:tcPr>
          <w:p>
            <w:r>
              <w:t>Validate active assignments, union coverage, and clinical credentialing status via real‑time Symplr integration.</w:t>
            </w:r>
          </w:p>
        </w:tc>
        <w:tc>
          <w:tcPr>
            <w:tcW w:type="dxa" w:w="1516"/>
          </w:tcPr>
          <w:p>
            <w:r>
              <w:t>Oracle HCM + OIC (Symplr connector)</w:t>
            </w:r>
          </w:p>
        </w:tc>
        <w:tc>
          <w:tcPr>
            <w:tcW w:type="dxa" w:w="1516"/>
          </w:tcPr>
          <w:p>
            <w:r>
              <w:t>If any active credentialing flag or union restriction exists, a warning is displayed and the transaction cannot proceed until resolved.</w:t>
            </w:r>
          </w:p>
        </w:tc>
        <w:tc>
          <w:tcPr>
            <w:tcW w:type="dxa" w:w="1516"/>
          </w:tcPr>
          <w:p>
            <w:r>
              <w:t>Integration task: **Define Integration for HR Transactions – Symplr Credentialing**.</w:t>
            </w:r>
          </w:p>
        </w:tc>
      </w:tr>
      <w:tr>
        <w:tc>
          <w:tcPr>
            <w:tcW w:type="dxa" w:w="1516"/>
          </w:tcPr>
          <w:p>
            <w:r>
              <w:t>3</w:t>
            </w:r>
          </w:p>
        </w:tc>
        <w:tc>
          <w:tcPr>
            <w:tcW w:type="dxa" w:w="1516"/>
          </w:tcPr>
          <w:p>
            <w:r>
              <w:t>Manager / HR Representative</w:t>
            </w:r>
          </w:p>
        </w:tc>
        <w:tc>
          <w:tcPr>
            <w:tcW w:type="dxa" w:w="1516"/>
          </w:tcPr>
          <w:p>
            <w:r>
              <w:t>Enter termination details: Effective Date, Termination Reason (picklist), Exit Interview Required (Y/N), Language Preference (EN/ES/FR).</w:t>
            </w:r>
          </w:p>
        </w:tc>
        <w:tc>
          <w:tcPr>
            <w:tcW w:type="dxa" w:w="1516"/>
          </w:tcPr>
          <w:p>
            <w:r>
              <w:t>Oracle HCM</w:t>
            </w:r>
          </w:p>
        </w:tc>
        <w:tc>
          <w:tcPr>
            <w:tcW w:type="dxa" w:w="1516"/>
          </w:tcPr>
          <w:p>
            <w:r>
              <w:t>Termination record is saved in a draft state.</w:t>
            </w:r>
          </w:p>
        </w:tc>
        <w:tc>
          <w:tcPr>
            <w:tcW w:type="dxa" w:w="1516"/>
          </w:tcPr>
          <w:p>
            <w:r>
              <w:t>Picklist values are maintained via **Manage Reason Codes** (Setup and Maintenance).</w:t>
            </w:r>
          </w:p>
        </w:tc>
      </w:tr>
      <w:tr>
        <w:tc>
          <w:tcPr>
            <w:tcW w:type="dxa" w:w="1516"/>
          </w:tcPr>
          <w:p>
            <w:r>
              <w:t>4</w:t>
            </w:r>
          </w:p>
        </w:tc>
        <w:tc>
          <w:tcPr>
            <w:tcW w:type="dxa" w:w="1516"/>
          </w:tcPr>
          <w:p>
            <w:r>
              <w:t>System</w:t>
            </w:r>
          </w:p>
        </w:tc>
        <w:tc>
          <w:tcPr>
            <w:tcW w:type="dxa" w:w="1516"/>
          </w:tcPr>
          <w:p>
            <w:r>
              <w:t>Route the draft termination to the configured approval workflow.</w:t>
            </w:r>
          </w:p>
        </w:tc>
        <w:tc>
          <w:tcPr>
            <w:tcW w:type="dxa" w:w="1516"/>
          </w:tcPr>
          <w:p>
            <w:r>
              <w:t>Oracle HCM (Workflow Engine)</w:t>
            </w:r>
          </w:p>
        </w:tc>
        <w:tc>
          <w:tcPr>
            <w:tcW w:type="dxa" w:w="1516"/>
          </w:tcPr>
          <w:p>
            <w:r>
              <w:t>Approval task is created for the first approver role.</w:t>
            </w:r>
          </w:p>
        </w:tc>
        <w:tc>
          <w:tcPr>
            <w:tcW w:type="dxa" w:w="1516"/>
          </w:tcPr>
          <w:p>
            <w:r>
              <w:t>Setup task: **Manage Approval Rules for HR Transactions** – configure multi‑level approval chain (HR Business Partner → Legal Counsel → Union Rep → Finance).</w:t>
            </w:r>
          </w:p>
        </w:tc>
      </w:tr>
      <w:tr>
        <w:tc>
          <w:tcPr>
            <w:tcW w:type="dxa" w:w="1516"/>
          </w:tcPr>
          <w:p>
            <w:r>
              <w:t>5</w:t>
            </w:r>
          </w:p>
        </w:tc>
        <w:tc>
          <w:tcPr>
            <w:tcW w:type="dxa" w:w="1516"/>
          </w:tcPr>
          <w:p>
            <w:r>
              <w:t>HR Business Partner</w:t>
            </w:r>
          </w:p>
        </w:tc>
        <w:tc>
          <w:tcPr>
            <w:tcW w:type="dxa" w:w="1516"/>
          </w:tcPr>
          <w:p>
            <w:r>
              <w:t>Review termination details, verify compliance with union contracts and healthcare regulations, then **Approve** or **Reject**.</w:t>
            </w:r>
          </w:p>
        </w:tc>
        <w:tc>
          <w:tcPr>
            <w:tcW w:type="dxa" w:w="1516"/>
          </w:tcPr>
          <w:p>
            <w:r>
              <w:t>Oracle HCM (Task Inbox)</w:t>
            </w:r>
          </w:p>
        </w:tc>
        <w:tc>
          <w:tcPr>
            <w:tcW w:type="dxa" w:w="1516"/>
          </w:tcPr>
          <w:p>
            <w:r>
              <w:t>If approved, workflow proceeds to next approver; if rejected, transaction returns to initiator with comments.</w:t>
            </w:r>
          </w:p>
        </w:tc>
        <w:tc>
          <w:tcPr>
            <w:tcW w:type="dxa" w:w="1516"/>
          </w:tcPr>
          <w:p>
            <w:r>
              <w:t>Approver role must have the **HR Approver** duty assigned via **Manage Role Provisioning**.</w:t>
            </w:r>
          </w:p>
        </w:tc>
      </w:tr>
      <w:tr>
        <w:tc>
          <w:tcPr>
            <w:tcW w:type="dxa" w:w="1516"/>
          </w:tcPr>
          <w:p>
            <w:r>
              <w:t>6</w:t>
            </w:r>
          </w:p>
        </w:tc>
        <w:tc>
          <w:tcPr>
            <w:tcW w:type="dxa" w:w="1516"/>
          </w:tcPr>
          <w:p>
            <w:r>
              <w:t>Legal Counsel (conditional)</w:t>
            </w:r>
          </w:p>
        </w:tc>
        <w:tc>
          <w:tcPr>
            <w:tcW w:type="dxa" w:w="1516"/>
          </w:tcPr>
          <w:p>
            <w:r>
              <w:t>Validate legal implications (e.g., severance eligibility) and **Approve**.</w:t>
            </w:r>
          </w:p>
        </w:tc>
        <w:tc>
          <w:tcPr>
            <w:tcW w:type="dxa" w:w="1516"/>
          </w:tcPr>
          <w:p>
            <w:r>
              <w:t>Oracle HCM</w:t>
            </w:r>
          </w:p>
        </w:tc>
        <w:tc>
          <w:tcPr>
            <w:tcW w:type="dxa" w:w="1516"/>
          </w:tcPr>
          <w:p>
            <w:r>
              <w:t>Transaction moves forward when all required approvers have signed off.</w:t>
            </w:r>
          </w:p>
        </w:tc>
        <w:tc>
          <w:tcPr>
            <w:tcW w:type="dxa" w:w="1516"/>
          </w:tcPr>
          <w:p>
            <w:r>
              <w:t>Legal approval step is enabled only for termination reasons flagged as “Legal Review Required” in **Manage Reason Codes**.</w:t>
            </w:r>
          </w:p>
        </w:tc>
      </w:tr>
      <w:tr>
        <w:tc>
          <w:tcPr>
            <w:tcW w:type="dxa" w:w="1516"/>
          </w:tcPr>
          <w:p>
            <w:r>
              <w:t>7</w:t>
            </w:r>
          </w:p>
        </w:tc>
        <w:tc>
          <w:tcPr>
            <w:tcW w:type="dxa" w:w="1516"/>
          </w:tcPr>
          <w:p>
            <w:r>
              <w:t>Union Representative (conditional)</w:t>
            </w:r>
          </w:p>
        </w:tc>
        <w:tc>
          <w:tcPr>
            <w:tcW w:type="dxa" w:w="1516"/>
          </w:tcPr>
          <w:p>
            <w:r>
              <w:t>Confirm union notification and compliance, then **Approve**.</w:t>
            </w:r>
          </w:p>
        </w:tc>
        <w:tc>
          <w:tcPr>
            <w:tcW w:type="dxa" w:w="1516"/>
          </w:tcPr>
          <w:p>
            <w:r>
              <w:t>Oracle HCM</w:t>
            </w:r>
          </w:p>
        </w:tc>
        <w:tc>
          <w:tcPr>
            <w:tcW w:type="dxa" w:w="1516"/>
          </w:tcPr>
          <w:p>
            <w:r>
              <w:t>Transaction proceeds after union sign‑off where applicable.</w:t>
            </w:r>
          </w:p>
        </w:tc>
        <w:tc>
          <w:tcPr>
            <w:tcW w:type="dxa" w:w="1516"/>
          </w:tcPr>
          <w:p>
            <w:r>
              <w:t>Union workflow activation is controlled by **Manage Union Rules** linked to the employee’s Union ID.</w:t>
            </w:r>
          </w:p>
        </w:tc>
      </w:tr>
      <w:tr>
        <w:tc>
          <w:tcPr>
            <w:tcW w:type="dxa" w:w="1516"/>
          </w:tcPr>
          <w:p>
            <w:r>
              <w:t>8</w:t>
            </w:r>
          </w:p>
        </w:tc>
        <w:tc>
          <w:tcPr>
            <w:tcW w:type="dxa" w:w="1516"/>
          </w:tcPr>
          <w:p>
            <w:r>
              <w:t>Finance / Payroll Lead</w:t>
            </w:r>
          </w:p>
        </w:tc>
        <w:tc>
          <w:tcPr>
            <w:tcW w:type="dxa" w:w="1516"/>
          </w:tcPr>
          <w:p>
            <w:r>
              <w:t>Validate final payroll calculations and **Approve**.</w:t>
            </w:r>
          </w:p>
        </w:tc>
        <w:tc>
          <w:tcPr>
            <w:tcW w:type="dxa" w:w="1516"/>
          </w:tcPr>
          <w:p>
            <w:r>
              <w:t>Oracle HCM</w:t>
            </w:r>
          </w:p>
        </w:tc>
        <w:tc>
          <w:tcPr>
            <w:tcW w:type="dxa" w:w="1516"/>
          </w:tcPr>
          <w:p>
            <w:r>
              <w:t>All approvals complete; termination transaction status changes to **Approved**.</w:t>
            </w:r>
          </w:p>
        </w:tc>
        <w:tc>
          <w:tcPr>
            <w:tcW w:type="dxa" w:w="1516"/>
          </w:tcPr>
          <w:p>
            <w:r>
              <w:t>Setup task: **Define Integration for HR Transactions – Payroll** – maps termination to ADP (US) or Ceridian (Canada) via OIC.</w:t>
            </w:r>
          </w:p>
        </w:tc>
      </w:tr>
      <w:tr>
        <w:tc>
          <w:tcPr>
            <w:tcW w:type="dxa" w:w="1516"/>
          </w:tcPr>
          <w:p>
            <w:r>
              <w:t>9</w:t>
            </w:r>
          </w:p>
        </w:tc>
        <w:tc>
          <w:tcPr>
            <w:tcW w:type="dxa" w:w="1516"/>
          </w:tcPr>
          <w:p>
            <w:r>
              <w:t>System</w:t>
            </w:r>
          </w:p>
        </w:tc>
        <w:tc>
          <w:tcPr>
            <w:tcW w:type="dxa" w:w="1516"/>
          </w:tcPr>
          <w:p>
            <w:r>
              <w:t>Execute OIC integrations:</w:t>
            </w:r>
          </w:p>
        </w:tc>
        <w:tc>
          <w:tcPr>
            <w:tcW w:type="dxa" w:w="1516"/>
          </w:tcPr>
          <w:p>
            <w:r>
              <w:t>Oracle Integration Cloud (OIC)</w:t>
            </w:r>
          </w:p>
        </w:tc>
        <w:tc>
          <w:tcPr>
            <w:tcW w:type="dxa" w:w="1516"/>
          </w:tcPr>
          <w:p>
            <w:r>
              <w:t>a) Send termination event to payroll provider (ADP or Ceridian). b) Send IT de‑provisioning request to internal IAM system. c) Send provider access removal to Epic. d) Update Symplr credentialing status to “Inactive”. e) Notify Benefitfocus to cease benefits.</w:t>
            </w:r>
          </w:p>
        </w:tc>
        <w:tc>
          <w:tcPr>
            <w:tcW w:type="dxa" w:w="1516"/>
          </w:tcPr>
          <w:p>
            <w:r>
              <w:t>Integration tasks: **Define Integration for HR Transactions – Payroll**, **Define Integration for External Systems – IT &amp; Epic**, **Define Integration for Benefits – Benefitfocus**.</w:t>
            </w:r>
          </w:p>
        </w:tc>
      </w:tr>
      <w:tr>
        <w:tc>
          <w:tcPr>
            <w:tcW w:type="dxa" w:w="1516"/>
          </w:tcPr>
          <w:p>
            <w:r>
              <w:t>10</w:t>
            </w:r>
          </w:p>
        </w:tc>
        <w:tc>
          <w:tcPr>
            <w:tcW w:type="dxa" w:w="1516"/>
          </w:tcPr>
          <w:p>
            <w:r>
              <w:t>System</w:t>
            </w:r>
          </w:p>
        </w:tc>
        <w:tc>
          <w:tcPr>
            <w:tcW w:type="dxa" w:w="1516"/>
          </w:tcPr>
          <w:p>
            <w:r>
              <w:t>Update employee status to **Terminated** in Person Management and set termination effective date.</w:t>
            </w:r>
          </w:p>
        </w:tc>
        <w:tc>
          <w:tcPr>
            <w:tcW w:type="dxa" w:w="1516"/>
          </w:tcPr>
          <w:p>
            <w:r>
              <w:t>Oracle HCM (Person Management)</w:t>
            </w:r>
          </w:p>
        </w:tc>
        <w:tc>
          <w:tcPr>
            <w:tcW w:type="dxa" w:w="1516"/>
          </w:tcPr>
          <w:p>
            <w:r>
              <w:t>Employee record is read‑only for all HR processes except audit.</w:t>
            </w:r>
          </w:p>
        </w:tc>
        <w:tc>
          <w:tcPr>
            <w:tcW w:type="dxa" w:w="1516"/>
          </w:tcPr>
          <w:p>
            <w:r>
              <w:t>Setup task: **Manage Person Management** – ensure status transition rules are active.</w:t>
            </w:r>
          </w:p>
        </w:tc>
      </w:tr>
      <w:tr>
        <w:tc>
          <w:tcPr>
            <w:tcW w:type="dxa" w:w="1516"/>
          </w:tcPr>
          <w:p>
            <w:r>
              <w:t>11</w:t>
            </w:r>
          </w:p>
        </w:tc>
        <w:tc>
          <w:tcPr>
            <w:tcW w:type="dxa" w:w="1516"/>
          </w:tcPr>
          <w:p>
            <w:r>
              <w:t>System</w:t>
            </w:r>
          </w:p>
        </w:tc>
        <w:tc>
          <w:tcPr>
            <w:tcW w:type="dxa" w:w="1516"/>
          </w:tcPr>
          <w:p>
            <w:r>
              <w:t>Generate termination letter and exit interview package in the employee’s preferred language (EN/ES/FR).</w:t>
            </w:r>
          </w:p>
        </w:tc>
        <w:tc>
          <w:tcPr>
            <w:tcW w:type="dxa" w:w="1516"/>
          </w:tcPr>
          <w:p>
            <w:r>
              <w:t>Oracle HCM (Document Generation)</w:t>
            </w:r>
          </w:p>
        </w:tc>
        <w:tc>
          <w:tcPr>
            <w:tcW w:type="dxa" w:w="1516"/>
          </w:tcPr>
          <w:p>
            <w:r>
              <w:t>PDF documents are stored in the employee’s Document Repository and emailed to the employee and manager.</w:t>
            </w:r>
          </w:p>
        </w:tc>
        <w:tc>
          <w:tcPr>
            <w:tcW w:type="dxa" w:w="1516"/>
          </w:tcPr>
          <w:p>
            <w:r>
              <w:t>Setup task: **Manage Document Templates** – create language‑specific templates and map to termination reason codes.</w:t>
            </w:r>
          </w:p>
        </w:tc>
      </w:tr>
      <w:tr>
        <w:tc>
          <w:tcPr>
            <w:tcW w:type="dxa" w:w="1516"/>
          </w:tcPr>
          <w:p>
            <w:r>
              <w:t>12</w:t>
            </w:r>
          </w:p>
        </w:tc>
        <w:tc>
          <w:tcPr>
            <w:tcW w:type="dxa" w:w="1516"/>
          </w:tcPr>
          <w:p>
            <w:r>
              <w:t>System</w:t>
            </w:r>
          </w:p>
        </w:tc>
        <w:tc>
          <w:tcPr>
            <w:tcW w:type="dxa" w:w="1516"/>
          </w:tcPr>
          <w:p>
            <w:r>
              <w:t>Archive employee master data according to statutory retention periods (e.g., 7 years US, 10 years Canada, 5 years Mexico).</w:t>
            </w:r>
          </w:p>
        </w:tc>
        <w:tc>
          <w:tcPr>
            <w:tcW w:type="dxa" w:w="1516"/>
          </w:tcPr>
          <w:p>
            <w:r>
              <w:t>Oracle HCM (Data Archiving)</w:t>
            </w:r>
          </w:p>
        </w:tc>
        <w:tc>
          <w:tcPr>
            <w:tcW w:type="dxa" w:w="1516"/>
          </w:tcPr>
          <w:p>
            <w:r>
              <w:t>Record is moved to the archival store; audit trail remains accessible.</w:t>
            </w:r>
          </w:p>
        </w:tc>
        <w:tc>
          <w:tcPr>
            <w:tcW w:type="dxa" w:w="1516"/>
          </w:tcPr>
          <w:p>
            <w:r>
              <w:t>Setup task: **Define Data Retention Policies** – configure per Legal Entity and jurisdiction.</w:t>
            </w:r>
          </w:p>
        </w:tc>
      </w:tr>
    </w:tbl>
    <w:p>
      <w:r>
        <w:rPr>
          <w:b/>
        </w:rPr>
        <w:t xml:space="preserve">Approval Required: </w:t>
      </w:r>
      <w:r>
        <w:t>HR Business Partner, Legal Counsel (as required), Union Representative (as required), Finance / Payroll Lead</w:t>
      </w:r>
    </w:p>
    <w:p>
      <w:r>
        <w:t>Notes: All configuration items referenced above must be completed in the **Setup and Maintenance** work area before go‑live.  Ensure bilingual UI support is enabled via **Manage Language Translations** and that the termination screen labels are translated for EN, ES, and FR.  The global employee ID (golden record) is preserved throughout the process and is the key field for all OIC payloads.</w:t>
      </w:r>
    </w:p>
    <w:p>
      <w:pPr>
        <w:pStyle w:val="Heading2"/>
      </w:pPr>
      <w:r>
        <w:t>4.1.12 Mass Updates</w:t>
      </w:r>
    </w:p>
    <w:p>
      <w:r>
        <w:t>Module: Core HR  |  Oracle Transaction: HCM Spreadsheet Data Loader</w:t>
      </w:r>
    </w:p>
    <w:p>
      <w:r>
        <w:t>Trigger: HR Data Management team initiates a bulk employee data change by uploading a validated spreadsheet to the HCM Spreadsheet Data Loader (HDL).</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Data Management Analyst</w:t>
            </w:r>
          </w:p>
        </w:tc>
        <w:tc>
          <w:tcPr>
            <w:tcW w:type="dxa" w:w="1516"/>
          </w:tcPr>
          <w:p>
            <w:r>
              <w:t>Prepare and upload the mass‑update spreadsheet (CSV/Excel) to the HDL staging area using the task **Manage Data Load Files** (Setup and Maintenance &gt; Data Management &gt; Manage Data Load Files).</w:t>
            </w:r>
          </w:p>
        </w:tc>
        <w:tc>
          <w:tcPr>
            <w:tcW w:type="dxa" w:w="1516"/>
          </w:tcPr>
          <w:p>
            <w:r>
              <w:t>Oracle HCM</w:t>
            </w:r>
          </w:p>
        </w:tc>
        <w:tc>
          <w:tcPr>
            <w:tcW w:type="dxa" w:w="1516"/>
          </w:tcPr>
          <w:p>
            <w:r>
              <w:t>Spreadsheet is stored in the HDL inbound directory and assigned a unique Load ID.</w:t>
            </w:r>
          </w:p>
        </w:tc>
        <w:tc>
          <w:tcPr>
            <w:tcW w:type="dxa" w:w="1516"/>
          </w:tcPr>
          <w:p>
            <w:r>
              <w:t>Include Global Employee ID, Legal Entity, Business Unit, and language‑specific fields (e.g., Preferred Language).</w:t>
            </w:r>
          </w:p>
        </w:tc>
      </w:tr>
      <w:tr>
        <w:tc>
          <w:tcPr>
            <w:tcW w:type="dxa" w:w="1516"/>
          </w:tcPr>
          <w:p>
            <w:r>
              <w:t>2</w:t>
            </w:r>
          </w:p>
        </w:tc>
        <w:tc>
          <w:tcPr>
            <w:tcW w:type="dxa" w:w="1516"/>
          </w:tcPr>
          <w:p>
            <w:r>
              <w:t>HR Data Management Analyst</w:t>
            </w:r>
          </w:p>
        </w:tc>
        <w:tc>
          <w:tcPr>
            <w:tcW w:type="dxa" w:w="1516"/>
          </w:tcPr>
          <w:p>
            <w:r>
              <w:t>Run **Validate Data Load** (Setup and Maintenance &gt; Data Management &gt; Validate Data Load) to perform schema, mandatory‑field, and business‑rule validation.</w:t>
            </w:r>
          </w:p>
        </w:tc>
        <w:tc>
          <w:tcPr>
            <w:tcW w:type="dxa" w:w="1516"/>
          </w:tcPr>
          <w:p>
            <w:r>
              <w:t>Oracle HCM</w:t>
            </w:r>
          </w:p>
        </w:tc>
        <w:tc>
          <w:tcPr>
            <w:tcW w:type="dxa" w:w="1516"/>
          </w:tcPr>
          <w:p>
            <w:r>
              <w:t>Validation report generated; any errors are flagged for correction.</w:t>
            </w:r>
          </w:p>
        </w:tc>
        <w:tc>
          <w:tcPr>
            <w:tcW w:type="dxa" w:w="1516"/>
          </w:tcPr>
          <w:p>
            <w:r>
              <w:t>Validation rules reference the **Fast Formulas** configured for credentialing status and union eligibility.</w:t>
            </w:r>
          </w:p>
        </w:tc>
      </w:tr>
      <w:tr>
        <w:tc>
          <w:tcPr>
            <w:tcW w:type="dxa" w:w="1516"/>
          </w:tcPr>
          <w:p>
            <w:r>
              <w:t>3</w:t>
            </w:r>
          </w:p>
        </w:tc>
        <w:tc>
          <w:tcPr>
            <w:tcW w:type="dxa" w:w="1516"/>
          </w:tcPr>
          <w:p>
            <w:r>
              <w:t>Global HR Manager</w:t>
            </w:r>
          </w:p>
        </w:tc>
        <w:tc>
          <w:tcPr>
            <w:tcW w:type="dxa" w:w="1516"/>
          </w:tcPr>
          <w:p>
            <w:r>
              <w:t>Review the validation report and **Approve Mass Update** using the task **Manage Mass Updates – Approve** (Setup and Maintenance &gt; Workforce Structures &gt; Manage Mass Updates).</w:t>
            </w:r>
          </w:p>
        </w:tc>
        <w:tc>
          <w:tcPr>
            <w:tcW w:type="dxa" w:w="1516"/>
          </w:tcPr>
          <w:p>
            <w:r>
              <w:t>Oracle HCM</w:t>
            </w:r>
          </w:p>
        </w:tc>
        <w:tc>
          <w:tcPr>
            <w:tcW w:type="dxa" w:w="1516"/>
          </w:tcPr>
          <w:p>
            <w:r>
              <w:t>Mass‑update request moves to ‘Approved’ status and is eligible for execution.</w:t>
            </w:r>
          </w:p>
        </w:tc>
        <w:tc>
          <w:tcPr>
            <w:tcW w:type="dxa" w:w="1516"/>
          </w:tcPr>
          <w:p>
            <w:r>
              <w:t>Approval workflow is configured via **HCM Experience Design Studio** with multi‑level routing (Global HR Manager → Compensation Manager → Legal Entity HR Lead).</w:t>
            </w:r>
          </w:p>
        </w:tc>
      </w:tr>
      <w:tr>
        <w:tc>
          <w:tcPr>
            <w:tcW w:type="dxa" w:w="1516"/>
          </w:tcPr>
          <w:p>
            <w:r>
              <w:t>4</w:t>
            </w:r>
          </w:p>
        </w:tc>
        <w:tc>
          <w:tcPr>
            <w:tcW w:type="dxa" w:w="1516"/>
          </w:tcPr>
          <w:p>
            <w:r>
              <w:t>HR Data Management Analyst</w:t>
            </w:r>
          </w:p>
        </w:tc>
        <w:tc>
          <w:tcPr>
            <w:tcW w:type="dxa" w:w="1516"/>
          </w:tcPr>
          <w:p>
            <w:r>
              <w:t>Execute the data load by selecting **Run Data Load** (Setup and Maintenance &gt; Data Management &gt; Run Data Load) for the approved Load ID.</w:t>
            </w:r>
          </w:p>
        </w:tc>
        <w:tc>
          <w:tcPr>
            <w:tcW w:type="dxa" w:w="1516"/>
          </w:tcPr>
          <w:p>
            <w:r>
              <w:t>Oracle HCM</w:t>
            </w:r>
          </w:p>
        </w:tc>
        <w:tc>
          <w:tcPr>
            <w:tcW w:type="dxa" w:w="1516"/>
          </w:tcPr>
          <w:p>
            <w:r>
              <w:t>Employee master records are updated across all four legal entities; audit entries are written to **HRM_EMPLOYEE_AUDIT**.</w:t>
            </w:r>
          </w:p>
        </w:tc>
        <w:tc>
          <w:tcPr>
            <w:tcW w:type="dxa" w:w="1516"/>
          </w:tcPr>
          <w:p>
            <w:r>
              <w:t>The load runs in **Transactional Mode** to ensure atomicity; any failure rolls back the entire batch.</w:t>
            </w:r>
          </w:p>
        </w:tc>
      </w:tr>
      <w:tr>
        <w:tc>
          <w:tcPr>
            <w:tcW w:type="dxa" w:w="1516"/>
          </w:tcPr>
          <w:p>
            <w:r>
              <w:t>5</w:t>
            </w:r>
          </w:p>
        </w:tc>
        <w:tc>
          <w:tcPr>
            <w:tcW w:type="dxa" w:w="1516"/>
          </w:tcPr>
          <w:p>
            <w:r>
              <w:t>HR Data Management Analyst</w:t>
            </w:r>
          </w:p>
        </w:tc>
        <w:tc>
          <w:tcPr>
            <w:tcW w:type="dxa" w:w="1516"/>
          </w:tcPr>
          <w:p>
            <w:r>
              <w:t>Run **Post‑Load Validation Report** (Setup and Maintenance &gt; Data Management &gt; Run Data Load Validation) to confirm that updates were applied correctly.</w:t>
            </w:r>
          </w:p>
        </w:tc>
        <w:tc>
          <w:tcPr>
            <w:tcW w:type="dxa" w:w="1516"/>
          </w:tcPr>
          <w:p>
            <w:r>
              <w:t>Oracle HCM</w:t>
            </w:r>
          </w:p>
        </w:tc>
        <w:tc>
          <w:tcPr>
            <w:tcW w:type="dxa" w:w="1516"/>
          </w:tcPr>
          <w:p>
            <w:r>
              <w:t>Report confirms successful updates; discrepancies are logged for remediation.</w:t>
            </w:r>
          </w:p>
        </w:tc>
        <w:tc>
          <w:tcPr>
            <w:tcW w:type="dxa" w:w="1516"/>
          </w:tcPr>
          <w:p>
            <w:r>
              <w:t>Cross‑check credentialing flag updates against the **Symplr Integration** OIC process.</w:t>
            </w:r>
          </w:p>
        </w:tc>
      </w:tr>
      <w:tr>
        <w:tc>
          <w:tcPr>
            <w:tcW w:type="dxa" w:w="1516"/>
          </w:tcPr>
          <w:p>
            <w:r>
              <w:t>6</w:t>
            </w:r>
          </w:p>
        </w:tc>
        <w:tc>
          <w:tcPr>
            <w:tcW w:type="dxa" w:w="1516"/>
          </w:tcPr>
          <w:p>
            <w:r>
              <w:t>Integration Service Owner (OIC)</w:t>
            </w:r>
          </w:p>
        </w:tc>
        <w:tc>
          <w:tcPr>
            <w:tcW w:type="dxa" w:w="1516"/>
          </w:tcPr>
          <w:p>
            <w:r>
              <w:t>OIC **HR Event Integration** subscription detects the mass‑update event (HRM_EMPLOYEE table change) and propagates relevant changes to ADP US, Ceridian Canada, Benefitfocus, and Epic via pre‑configured integration flows.</w:t>
            </w:r>
          </w:p>
        </w:tc>
        <w:tc>
          <w:tcPr>
            <w:tcW w:type="dxa" w:w="1516"/>
          </w:tcPr>
          <w:p>
            <w:r>
              <w:t>Oracle Integration Cloud (OIC)</w:t>
            </w:r>
          </w:p>
        </w:tc>
        <w:tc>
          <w:tcPr>
            <w:tcW w:type="dxa" w:w="1516"/>
          </w:tcPr>
          <w:p>
            <w:r>
              <w:t>Payroll, benefits, and clinical scheduling systems receive real‑time employee attribute updates.</w:t>
            </w:r>
          </w:p>
        </w:tc>
        <w:tc>
          <w:tcPr>
            <w:tcW w:type="dxa" w:w="1516"/>
          </w:tcPr>
          <w:p>
            <w:r>
              <w:t>Integration mappings include language code (EN, ES, FR‑CA) for UI localization.</w:t>
            </w:r>
          </w:p>
        </w:tc>
      </w:tr>
      <w:tr>
        <w:tc>
          <w:tcPr>
            <w:tcW w:type="dxa" w:w="1516"/>
          </w:tcPr>
          <w:p>
            <w:r>
              <w:t>7</w:t>
            </w:r>
          </w:p>
        </w:tc>
        <w:tc>
          <w:tcPr>
            <w:tcW w:type="dxa" w:w="1516"/>
          </w:tcPr>
          <w:p>
            <w:r>
              <w:t>System</w:t>
            </w:r>
          </w:p>
        </w:tc>
        <w:tc>
          <w:tcPr>
            <w:tcW w:type="dxa" w:w="1516"/>
          </w:tcPr>
          <w:p>
            <w:r>
              <w:t>Send automated email notifications to the requestor, approvers, and affected Business Unit HR contacts using **HCM Notification Templates** (Setup and Maintenance &gt; Workforce Structures &gt; Manage Notification Templates).</w:t>
            </w:r>
          </w:p>
        </w:tc>
        <w:tc>
          <w:tcPr>
            <w:tcW w:type="dxa" w:w="1516"/>
          </w:tcPr>
          <w:p>
            <w:r>
              <w:t>Email</w:t>
            </w:r>
          </w:p>
        </w:tc>
        <w:tc>
          <w:tcPr>
            <w:tcW w:type="dxa" w:w="1516"/>
          </w:tcPr>
          <w:p>
            <w:r>
              <w:t>Stakeholders are informed of successful completion or any post‑load issues.</w:t>
            </w:r>
          </w:p>
        </w:tc>
        <w:tc>
          <w:tcPr>
            <w:tcW w:type="dxa" w:w="1516"/>
          </w:tcPr>
          <w:p>
            <w:r>
              <w:t>Email content is bilingual; French‑Canadian template is selected based on employee Preferred Language.</w:t>
            </w:r>
          </w:p>
        </w:tc>
      </w:tr>
      <w:tr>
        <w:tc>
          <w:tcPr>
            <w:tcW w:type="dxa" w:w="1516"/>
          </w:tcPr>
          <w:p>
            <w:r>
              <w:t>8</w:t>
            </w:r>
          </w:p>
        </w:tc>
        <w:tc>
          <w:tcPr>
            <w:tcW w:type="dxa" w:w="1516"/>
          </w:tcPr>
          <w:p>
            <w:r>
              <w:t>Security Administrator</w:t>
            </w:r>
          </w:p>
        </w:tc>
        <w:tc>
          <w:tcPr>
            <w:tcW w:type="dxa" w:w="1516"/>
          </w:tcPr>
          <w:p>
            <w:r>
              <w:t>Update **Audit Trail** entries via **Manage Audit Trail** (Setup and Maintenance &gt; Security &gt; Manage Audit Trail) to capture user, timestamp, and Load ID for compliance reporting.</w:t>
            </w:r>
          </w:p>
        </w:tc>
        <w:tc>
          <w:tcPr>
            <w:tcW w:type="dxa" w:w="1516"/>
          </w:tcPr>
          <w:p>
            <w:r>
              <w:t>Oracle HCM</w:t>
            </w:r>
          </w:p>
        </w:tc>
        <w:tc>
          <w:tcPr>
            <w:tcW w:type="dxa" w:w="1516"/>
          </w:tcPr>
          <w:p>
            <w:r>
              <w:t>Audit records are available for internal controls and healthcare regulatory audits.</w:t>
            </w:r>
          </w:p>
        </w:tc>
        <w:tc>
          <w:tcPr>
            <w:tcW w:type="dxa" w:w="1516"/>
          </w:tcPr>
          <w:p>
            <w:r>
              <w:t>Retention policy set to 7 years per HIPAA and local privacy regulations.</w:t>
            </w:r>
          </w:p>
        </w:tc>
      </w:tr>
    </w:tbl>
    <w:p>
      <w:r>
        <w:rPr>
          <w:b/>
        </w:rPr>
        <w:t xml:space="preserve">Approval Required: </w:t>
      </w:r>
      <w:r>
        <w:t>Global HR Manager, Compensation Manager, Legal Entity HR Lead</w:t>
      </w:r>
    </w:p>
    <w:p>
      <w:r>
        <w:t>Notes: All mass‑update configurations (validation rules, approval workflow, notification templates) are maintained in **HCM Experience Design Studio** and version‑controlled. Ensure that the spreadsheet includes the bilingual language code column to support the EN/ES/FR‑CA UI requirement. For unionized workforce updates, the **Union Management** fast‑formula must be referenced during validation.</w:t>
      </w:r>
    </w:p>
    <w:p>
      <w:pPr>
        <w:pStyle w:val="Heading2"/>
      </w:pPr>
      <w:r>
        <w:t>4.5.1 Change Salary</w:t>
      </w:r>
    </w:p>
    <w:p>
      <w:r>
        <w:t>Module: Compensation &amp; Benefits  |  Oracle Transaction: Change Salary</w:t>
      </w:r>
    </w:p>
    <w:p>
      <w:r>
        <w:t>Trigger: Compensation Change Request submitted by manager or employee (self‑service) for an active worker record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Line Manager / HR Business Partner</w:t>
            </w:r>
          </w:p>
        </w:tc>
        <w:tc>
          <w:tcPr>
            <w:tcW w:type="dxa" w:w="1516"/>
          </w:tcPr>
          <w:p>
            <w:r>
              <w:t>Initiate Compensation Change Request via HCM Experience Design Studio (Self‑Service UI)</w:t>
            </w:r>
          </w:p>
        </w:tc>
        <w:tc>
          <w:tcPr>
            <w:tcW w:type="dxa" w:w="1516"/>
          </w:tcPr>
          <w:p>
            <w:r>
              <w:t>Oracle HCM</w:t>
            </w:r>
          </w:p>
        </w:tc>
        <w:tc>
          <w:tcPr>
            <w:tcW w:type="dxa" w:w="1516"/>
          </w:tcPr>
          <w:p>
            <w:r>
              <w:t>Compensation Change Request (CCR) record created in the Compensation Workbench</w:t>
            </w:r>
          </w:p>
        </w:tc>
        <w:tc>
          <w:tcPr>
            <w:tcW w:type="dxa" w:w="1516"/>
          </w:tcPr>
          <w:p>
            <w:r>
              <w:t>UI language displayed per employee language preference (EN/ES/FR). Setup task: *Manage Languages* (Setup and Maintenance &gt; Global Human Resources &gt; Manage Languages).</w:t>
            </w:r>
          </w:p>
        </w:tc>
      </w:tr>
      <w:tr>
        <w:tc>
          <w:tcPr>
            <w:tcW w:type="dxa" w:w="1516"/>
          </w:tcPr>
          <w:p>
            <w:r>
              <w:t>2</w:t>
            </w:r>
          </w:p>
        </w:tc>
        <w:tc>
          <w:tcPr>
            <w:tcW w:type="dxa" w:w="1516"/>
          </w:tcPr>
          <w:p>
            <w:r>
              <w:t>Compensation Analyst</w:t>
            </w:r>
          </w:p>
        </w:tc>
        <w:tc>
          <w:tcPr>
            <w:tcW w:type="dxa" w:w="1516"/>
          </w:tcPr>
          <w:p>
            <w:r>
              <w:t>Validate eligibility rules and select appropriate Compensation Element (e.g., Base Salary) and Compensation Plan</w:t>
            </w:r>
          </w:p>
        </w:tc>
        <w:tc>
          <w:tcPr>
            <w:tcW w:type="dxa" w:w="1516"/>
          </w:tcPr>
          <w:p>
            <w:r>
              <w:t>Oracle HCM</w:t>
            </w:r>
          </w:p>
        </w:tc>
        <w:tc>
          <w:tcPr>
            <w:tcW w:type="dxa" w:w="1516"/>
          </w:tcPr>
          <w:p>
            <w:r>
              <w:t>Compensation Element populated with proposed new salary amount</w:t>
            </w:r>
          </w:p>
        </w:tc>
        <w:tc>
          <w:tcPr>
            <w:tcW w:type="dxa" w:w="1516"/>
          </w:tcPr>
          <w:p>
            <w:r>
              <w:t>Eligibility rules configured via *Define Compensation Eligibility Rules* (Setup and Maintenance &gt; Compensation &gt; Define Eligibility Rules). Compensation Elements defined via *Manage Compensation Elements*.</w:t>
            </w:r>
          </w:p>
        </w:tc>
      </w:tr>
      <w:tr>
        <w:tc>
          <w:tcPr>
            <w:tcW w:type="dxa" w:w="1516"/>
          </w:tcPr>
          <w:p>
            <w:r>
              <w:t>3</w:t>
            </w:r>
          </w:p>
        </w:tc>
        <w:tc>
          <w:tcPr>
            <w:tcW w:type="dxa" w:w="1516"/>
          </w:tcPr>
          <w:p>
            <w:r>
              <w:t>Compensation Analyst</w:t>
            </w:r>
          </w:p>
        </w:tc>
        <w:tc>
          <w:tcPr>
            <w:tcW w:type="dxa" w:w="1516"/>
          </w:tcPr>
          <w:p>
            <w:r>
              <w:t>Enter effective date and justification; attach supporting documents (e.g., market analysis)</w:t>
            </w:r>
          </w:p>
        </w:tc>
        <w:tc>
          <w:tcPr>
            <w:tcW w:type="dxa" w:w="1516"/>
          </w:tcPr>
          <w:p>
            <w:r>
              <w:t>Oracle HCM</w:t>
            </w:r>
          </w:p>
        </w:tc>
        <w:tc>
          <w:tcPr>
            <w:tcW w:type="dxa" w:w="1516"/>
          </w:tcPr>
          <w:p>
            <w:r>
              <w:t>CCR enriched with all required data; status set to *Pending Approvals*</w:t>
            </w:r>
          </w:p>
        </w:tc>
        <w:tc>
          <w:tcPr>
            <w:tcW w:type="dxa" w:w="1516"/>
          </w:tcPr>
          <w:p>
            <w:r>
              <w:t>Document attachment stored in *HR Document Management*; ensure document type is defined in *Manage Document Types*.</w:t>
            </w:r>
          </w:p>
        </w:tc>
      </w:tr>
      <w:tr>
        <w:tc>
          <w:tcPr>
            <w:tcW w:type="dxa" w:w="1516"/>
          </w:tcPr>
          <w:p>
            <w:r>
              <w:t>4</w:t>
            </w:r>
          </w:p>
        </w:tc>
        <w:tc>
          <w:tcPr>
            <w:tcW w:type="dxa" w:w="1516"/>
          </w:tcPr>
          <w:p>
            <w:r>
              <w:t>Approver – Department Head</w:t>
            </w:r>
          </w:p>
        </w:tc>
        <w:tc>
          <w:tcPr>
            <w:tcW w:type="dxa" w:w="1516"/>
          </w:tcPr>
          <w:p>
            <w:r>
              <w:t>Review CCR, verify budget impact, and approve or reject</w:t>
            </w:r>
          </w:p>
        </w:tc>
        <w:tc>
          <w:tcPr>
            <w:tcW w:type="dxa" w:w="1516"/>
          </w:tcPr>
          <w:p>
            <w:r>
              <w:t>Oracle HCM</w:t>
            </w:r>
          </w:p>
        </w:tc>
        <w:tc>
          <w:tcPr>
            <w:tcW w:type="dxa" w:w="1516"/>
          </w:tcPr>
          <w:p>
            <w:r>
              <w:t>If approved, CCR status changes to *Approved – Dept Head*; if rejected, status changes to *Rejected* with comments</w:t>
            </w:r>
          </w:p>
        </w:tc>
        <w:tc>
          <w:tcPr>
            <w:tcW w:type="dxa" w:w="1516"/>
          </w:tcPr>
          <w:p>
            <w:r>
              <w:t>Approval workflow defined in *Manage Compensation Approval Rules* (Setup and Maintenance &gt; Compensation &gt; Manage Approval Rules).</w:t>
            </w:r>
          </w:p>
        </w:tc>
      </w:tr>
      <w:tr>
        <w:tc>
          <w:tcPr>
            <w:tcW w:type="dxa" w:w="1516"/>
          </w:tcPr>
          <w:p>
            <w:r>
              <w:t>5</w:t>
            </w:r>
          </w:p>
        </w:tc>
        <w:tc>
          <w:tcPr>
            <w:tcW w:type="dxa" w:w="1516"/>
          </w:tcPr>
          <w:p>
            <w:r>
              <w:t>Approver – Finance Controller (per Legal Entity)</w:t>
            </w:r>
          </w:p>
        </w:tc>
        <w:tc>
          <w:tcPr>
            <w:tcW w:type="dxa" w:w="1516"/>
          </w:tcPr>
          <w:p>
            <w:r>
              <w:t>Validate financial limits and approve/reject</w:t>
            </w:r>
          </w:p>
        </w:tc>
        <w:tc>
          <w:tcPr>
            <w:tcW w:type="dxa" w:w="1516"/>
          </w:tcPr>
          <w:p>
            <w:r>
              <w:t>Oracle HCM</w:t>
            </w:r>
          </w:p>
        </w:tc>
        <w:tc>
          <w:tcPr>
            <w:tcW w:type="dxa" w:w="1516"/>
          </w:tcPr>
          <w:p>
            <w:r>
              <w:t>CCR status updates to *Approved – Finance* or *Rejected*</w:t>
            </w:r>
          </w:p>
        </w:tc>
        <w:tc>
          <w:tcPr>
            <w:tcW w:type="dxa" w:w="1516"/>
          </w:tcPr>
          <w:p>
            <w:r>
              <w:t>Finance approval routing uses *Define Compensation Approval Hierarchy*; ensure Legal Entity mapping via *Manage Legal Entities*.</w:t>
            </w:r>
          </w:p>
        </w:tc>
      </w:tr>
      <w:tr>
        <w:tc>
          <w:tcPr>
            <w:tcW w:type="dxa" w:w="1516"/>
          </w:tcPr>
          <w:p>
            <w:r>
              <w:t>6</w:t>
            </w:r>
          </w:p>
        </w:tc>
        <w:tc>
          <w:tcPr>
            <w:tcW w:type="dxa" w:w="1516"/>
          </w:tcPr>
          <w:p>
            <w:r>
              <w:t>Compensation Analyst</w:t>
            </w:r>
          </w:p>
        </w:tc>
        <w:tc>
          <w:tcPr>
            <w:tcW w:type="dxa" w:w="1516"/>
          </w:tcPr>
          <w:p>
            <w:r>
              <w:t>Finalize CCR; system generates Compensation Transaction</w:t>
            </w:r>
          </w:p>
        </w:tc>
        <w:tc>
          <w:tcPr>
            <w:tcW w:type="dxa" w:w="1516"/>
          </w:tcPr>
          <w:p>
            <w:r>
              <w:t>Oracle HCM</w:t>
            </w:r>
          </w:p>
        </w:tc>
        <w:tc>
          <w:tcPr>
            <w:tcW w:type="dxa" w:w="1516"/>
          </w:tcPr>
          <w:p>
            <w:r>
              <w:t>Compensation Transaction posted to worker’s employment record; new salary becomes effective on the specified date</w:t>
            </w:r>
          </w:p>
        </w:tc>
        <w:tc>
          <w:tcPr>
            <w:tcW w:type="dxa" w:w="1516"/>
          </w:tcPr>
          <w:p>
            <w:r>
              <w:t>Compensation Transaction type configured in *Manage Compensation Transaction Types*.</w:t>
            </w:r>
          </w:p>
        </w:tc>
      </w:tr>
      <w:tr>
        <w:tc>
          <w:tcPr>
            <w:tcW w:type="dxa" w:w="1516"/>
          </w:tcPr>
          <w:p>
            <w:r>
              <w:t>7</w:t>
            </w:r>
          </w:p>
        </w:tc>
        <w:tc>
          <w:tcPr>
            <w:tcW w:type="dxa" w:w="1516"/>
          </w:tcPr>
          <w:p>
            <w:r>
              <w:t>Integration Service (OIC)</w:t>
            </w:r>
          </w:p>
        </w:tc>
        <w:tc>
          <w:tcPr>
            <w:tcW w:type="dxa" w:w="1516"/>
          </w:tcPr>
          <w:p>
            <w:r>
              <w:t>Publish Salary Change event to payroll providers (ADP US / Ceridian Canada) via OIC integration</w:t>
            </w:r>
          </w:p>
        </w:tc>
        <w:tc>
          <w:tcPr>
            <w:tcW w:type="dxa" w:w="1516"/>
          </w:tcPr>
          <w:p>
            <w:r>
              <w:t>Oracle Integration Cloud (OIC)</w:t>
            </w:r>
          </w:p>
        </w:tc>
        <w:tc>
          <w:tcPr>
            <w:tcW w:type="dxa" w:w="1516"/>
          </w:tcPr>
          <w:p>
            <w:r>
              <w:t>Payroll provider receives salary update; payroll run reflects new amount</w:t>
            </w:r>
          </w:p>
        </w:tc>
        <w:tc>
          <w:tcPr>
            <w:tcW w:type="dxa" w:w="1516"/>
          </w:tcPr>
          <w:p>
            <w:r>
              <w:t>Integration flow built using *Create Integration* task; event‑driven trigger uses *Compensation Change* business event.</w:t>
            </w:r>
          </w:p>
        </w:tc>
      </w:tr>
      <w:tr>
        <w:tc>
          <w:tcPr>
            <w:tcW w:type="dxa" w:w="1516"/>
          </w:tcPr>
          <w:p>
            <w:r>
              <w:t>8</w:t>
            </w:r>
          </w:p>
        </w:tc>
        <w:tc>
          <w:tcPr>
            <w:tcW w:type="dxa" w:w="1516"/>
          </w:tcPr>
          <w:p>
            <w:r>
              <w:t>HRIS Analyst</w:t>
            </w:r>
          </w:p>
        </w:tc>
        <w:tc>
          <w:tcPr>
            <w:tcW w:type="dxa" w:w="1516"/>
          </w:tcPr>
          <w:p>
            <w:r>
              <w:t>Run HDL – HCM Data Loader (if bulk salary changes) to load compensation transactions</w:t>
            </w:r>
          </w:p>
        </w:tc>
        <w:tc>
          <w:tcPr>
            <w:tcW w:type="dxa" w:w="1516"/>
          </w:tcPr>
          <w:p>
            <w:r>
              <w:t>HDL</w:t>
            </w:r>
          </w:p>
        </w:tc>
        <w:tc>
          <w:tcPr>
            <w:tcW w:type="dxa" w:w="1516"/>
          </w:tcPr>
          <w:p>
            <w:r>
              <w:t>Bulk salary changes loaded into Fusion; audit log created</w:t>
            </w:r>
          </w:p>
        </w:tc>
        <w:tc>
          <w:tcPr>
            <w:tcW w:type="dxa" w:w="1516"/>
          </w:tcPr>
          <w:p>
            <w:r>
              <w:t>HDL template: *Compensation_Transaction*. Validate using *Validate HDL Load* task.</w:t>
            </w:r>
          </w:p>
        </w:tc>
      </w:tr>
      <w:tr>
        <w:tc>
          <w:tcPr>
            <w:tcW w:type="dxa" w:w="1516"/>
          </w:tcPr>
          <w:p>
            <w:r>
              <w:t>9</w:t>
            </w:r>
          </w:p>
        </w:tc>
        <w:tc>
          <w:tcPr>
            <w:tcW w:type="dxa" w:w="1516"/>
          </w:tcPr>
          <w:p>
            <w:r>
              <w:t>Employee</w:t>
            </w:r>
          </w:p>
        </w:tc>
        <w:tc>
          <w:tcPr>
            <w:tcW w:type="dxa" w:w="1516"/>
          </w:tcPr>
          <w:p>
            <w:r>
              <w:t>Receive notification (email &amp; in‑app) of approved salary change with effective date</w:t>
            </w:r>
          </w:p>
        </w:tc>
        <w:tc>
          <w:tcPr>
            <w:tcW w:type="dxa" w:w="1516"/>
          </w:tcPr>
          <w:p>
            <w:r>
              <w:t>Oracle HCM + Email</w:t>
            </w:r>
          </w:p>
        </w:tc>
        <w:tc>
          <w:tcPr>
            <w:tcW w:type="dxa" w:w="1516"/>
          </w:tcPr>
          <w:p>
            <w:r>
              <w:t>Employee acknowledges change; self‑service view reflects new salary</w:t>
            </w:r>
          </w:p>
        </w:tc>
        <w:tc>
          <w:tcPr>
            <w:tcW w:type="dxa" w:w="1516"/>
          </w:tcPr>
          <w:p>
            <w:r>
              <w:t>Notification template configured via *Manage Notification Templates*; language variant per employee preference.</w:t>
            </w:r>
          </w:p>
        </w:tc>
      </w:tr>
      <w:tr>
        <w:tc>
          <w:tcPr>
            <w:tcW w:type="dxa" w:w="1516"/>
          </w:tcPr>
          <w:p>
            <w:r>
              <w:t>10</w:t>
            </w:r>
          </w:p>
        </w:tc>
        <w:tc>
          <w:tcPr>
            <w:tcW w:type="dxa" w:w="1516"/>
          </w:tcPr>
          <w:p>
            <w:r>
              <w:t>System</w:t>
            </w:r>
          </w:p>
        </w:tc>
        <w:tc>
          <w:tcPr>
            <w:tcW w:type="dxa" w:w="1516"/>
          </w:tcPr>
          <w:p>
            <w:r>
              <w:t>Update reporting and analytics (OTBI) with new salary data</w:t>
            </w:r>
          </w:p>
        </w:tc>
        <w:tc>
          <w:tcPr>
            <w:tcW w:type="dxa" w:w="1516"/>
          </w:tcPr>
          <w:p>
            <w:r>
              <w:t>Oracle Analytics Cloud / OTBI</w:t>
            </w:r>
          </w:p>
        </w:tc>
        <w:tc>
          <w:tcPr>
            <w:tcW w:type="dxa" w:w="1516"/>
          </w:tcPr>
          <w:p>
            <w:r>
              <w:t>Compensation reports reflect updated salary figures in real time</w:t>
            </w:r>
          </w:p>
        </w:tc>
        <w:tc>
          <w:tcPr>
            <w:tcW w:type="dxa" w:w="1516"/>
          </w:tcPr>
          <w:p>
            <w:r>
              <w:t>Ensure *Compensation Fact* model includes new transaction; refresh schedule defined in *Manage OTBI Reports*.</w:t>
            </w:r>
          </w:p>
        </w:tc>
      </w:tr>
    </w:tbl>
    <w:p>
      <w:r>
        <w:rPr>
          <w:b/>
        </w:rPr>
        <w:t xml:space="preserve">Approval Required: </w:t>
      </w:r>
      <w:r>
        <w:t>Department Head, Finance Controller (Legal Entity specific), Compensation Manager (optional for high‑value changes)</w:t>
      </w:r>
    </w:p>
    <w:p>
      <w:r>
        <w:t xml:space="preserve">Notes: • All language‑specific UI labels and help content must be maintained in *Manage Translations* (Setup and Maintenance &gt; Global Human Resources &gt; Manage Translations). </w:t>
        <w:br/>
        <w:t xml:space="preserve">• For unionized workforce, ensure collective bargaining agreement (CBA) rules are enforced via *Define Compensation Rules* linked to the appropriate Union Group. </w:t>
        <w:br/>
        <w:t>• Credentialing status does not impact salary change but the process must not proceed if the employee’s clinical credentialing flag is *Inactive*; this check is implemented via a custom validation rule referencing the Symplr integration data stored in the *Person Credential* entity.</w:t>
        <w:br/>
        <w:t>• The global employee ID (GUID) is the golden record; all CCRs reference this ID to guarantee cross‑entity consistency.</w:t>
      </w:r>
    </w:p>
    <w:p>
      <w:pPr>
        <w:pStyle w:val="Heading2"/>
      </w:pPr>
      <w:r>
        <w:t>4.5.2 Annual Compensation Review</w:t>
      </w:r>
    </w:p>
    <w:p>
      <w:r>
        <w:t>Module: Compensation &amp; Benefits  |  Oracle Transaction: Start Compensation Cycle</w:t>
      </w:r>
    </w:p>
    <w:p>
      <w:r>
        <w:t>Trigger: Scheduled start of the annual compensation cycle (Setup and Maintenance → Compensation → Manage Compensation Cycles → Create Compensation Cycle with status = 'Open')</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Compensation Administrator (HRIS Admin role)</w:t>
            </w:r>
          </w:p>
        </w:tc>
        <w:tc>
          <w:tcPr>
            <w:tcW w:type="dxa" w:w="1516"/>
          </w:tcPr>
          <w:p>
            <w:r>
              <w:t>Create Compensation Cycle record and define cycle parameters (effective date, eligibility rules, budget limits)</w:t>
            </w:r>
          </w:p>
        </w:tc>
        <w:tc>
          <w:tcPr>
            <w:tcW w:type="dxa" w:w="1516"/>
          </w:tcPr>
          <w:p>
            <w:r>
              <w:t>Oracle HCM</w:t>
            </w:r>
          </w:p>
        </w:tc>
        <w:tc>
          <w:tcPr>
            <w:tcW w:type="dxa" w:w="1516"/>
          </w:tcPr>
          <w:p>
            <w:r>
              <w:t>Compensation Cycle (CYCLE_ID) is created with status 'Open' and made available to eligible employees</w:t>
            </w:r>
          </w:p>
        </w:tc>
        <w:tc>
          <w:tcPr>
            <w:tcW w:type="dxa" w:w="1516"/>
          </w:tcPr>
          <w:p>
            <w:r>
              <w:t>Setup task: 'Manage Compensation Cycles' – ensure eligibility rule uses Global Employee ID as key attribute</w:t>
            </w:r>
          </w:p>
        </w:tc>
      </w:tr>
      <w:tr>
        <w:tc>
          <w:tcPr>
            <w:tcW w:type="dxa" w:w="1516"/>
          </w:tcPr>
          <w:p>
            <w:r>
              <w:t>2</w:t>
            </w:r>
          </w:p>
        </w:tc>
        <w:tc>
          <w:tcPr>
            <w:tcW w:type="dxa" w:w="1516"/>
          </w:tcPr>
          <w:p>
            <w:r>
              <w:t>HR Business Partner (HRBP)</w:t>
            </w:r>
          </w:p>
        </w:tc>
        <w:tc>
          <w:tcPr>
            <w:tcW w:type="dxa" w:w="1516"/>
          </w:tcPr>
          <w:p>
            <w:r>
              <w:t>Run Eligibility Extract (HDL – HCM Data Loader) to populate eligible employee list based on job, grade, and union contract criteria</w:t>
            </w:r>
          </w:p>
        </w:tc>
        <w:tc>
          <w:tcPr>
            <w:tcW w:type="dxa" w:w="1516"/>
          </w:tcPr>
          <w:p>
            <w:r>
              <w:t>Oracle HCM</w:t>
            </w:r>
          </w:p>
        </w:tc>
        <w:tc>
          <w:tcPr>
            <w:tcW w:type="dxa" w:w="1516"/>
          </w:tcPr>
          <w:p>
            <w:r>
              <w:t>Eligibility view (PER_COMPENSATION_ELIGIBILITY_V) populated; employees flagged as 'Eligible' for the cycle</w:t>
            </w:r>
          </w:p>
        </w:tc>
        <w:tc>
          <w:tcPr>
            <w:tcW w:type="dxa" w:w="1516"/>
          </w:tcPr>
          <w:p>
            <w:r>
              <w:t>Eligibility rule configured in Setup and Maintenance → Compensation → Eligibility Rules; include multi‑country union flags</w:t>
            </w:r>
          </w:p>
        </w:tc>
      </w:tr>
      <w:tr>
        <w:tc>
          <w:tcPr>
            <w:tcW w:type="dxa" w:w="1516"/>
          </w:tcPr>
          <w:p>
            <w:r>
              <w:t>3</w:t>
            </w:r>
          </w:p>
        </w:tc>
        <w:tc>
          <w:tcPr>
            <w:tcW w:type="dxa" w:w="1516"/>
          </w:tcPr>
          <w:p>
            <w:r>
              <w:t>Compensation Analyst</w:t>
            </w:r>
          </w:p>
        </w:tc>
        <w:tc>
          <w:tcPr>
            <w:tcW w:type="dxa" w:w="1516"/>
          </w:tcPr>
          <w:p>
            <w:r>
              <w:t>Upload market benchmark data (CSV) via Compensation Data Load (Setup and Maintenance → Compensation → Load Compensation Data)</w:t>
            </w:r>
          </w:p>
        </w:tc>
        <w:tc>
          <w:tcPr>
            <w:tcW w:type="dxa" w:w="1516"/>
          </w:tcPr>
          <w:p>
            <w:r>
              <w:t>Oracle HCM</w:t>
            </w:r>
          </w:p>
        </w:tc>
        <w:tc>
          <w:tcPr>
            <w:tcW w:type="dxa" w:w="1516"/>
          </w:tcPr>
          <w:p>
            <w:r>
              <w:t>Benchmark data stored in COMP_BENCHMARK_TBL and linked to job profiles</w:t>
            </w:r>
          </w:p>
        </w:tc>
        <w:tc>
          <w:tcPr>
            <w:tcW w:type="dxa" w:w="1516"/>
          </w:tcPr>
          <w:p>
            <w:r>
              <w:t>Map external benchmark fields to HCM data model; schedule nightly OIC job to refresh from external market data service</w:t>
            </w:r>
          </w:p>
        </w:tc>
      </w:tr>
      <w:tr>
        <w:tc>
          <w:tcPr>
            <w:tcW w:type="dxa" w:w="1516"/>
          </w:tcPr>
          <w:p>
            <w:r>
              <w:t>4</w:t>
            </w:r>
          </w:p>
        </w:tc>
        <w:tc>
          <w:tcPr>
            <w:tcW w:type="dxa" w:w="1516"/>
          </w:tcPr>
          <w:p>
            <w:r>
              <w:t>HR Business Partner</w:t>
            </w:r>
          </w:p>
        </w:tc>
        <w:tc>
          <w:tcPr>
            <w:tcW w:type="dxa" w:w="1516"/>
          </w:tcPr>
          <w:p>
            <w:r>
              <w:t>Generate Compensation Recommendation Report (BI Publisher) for each Business Unit and Legal Entity</w:t>
            </w:r>
          </w:p>
        </w:tc>
        <w:tc>
          <w:tcPr>
            <w:tcW w:type="dxa" w:w="1516"/>
          </w:tcPr>
          <w:p>
            <w:r>
              <w:t>Oracle HCM</w:t>
            </w:r>
          </w:p>
        </w:tc>
        <w:tc>
          <w:tcPr>
            <w:tcW w:type="dxa" w:w="1516"/>
          </w:tcPr>
          <w:p>
            <w:r>
              <w:t>PDF/HTML report delivered to BU heads for review</w:t>
            </w:r>
          </w:p>
        </w:tc>
        <w:tc>
          <w:tcPr>
            <w:tcW w:type="dxa" w:w="1516"/>
          </w:tcPr>
          <w:p>
            <w:r>
              <w:t>Report layout defined in HCM Experience Design Studio; include language‑specific labels (EN/ES/FR) using UI language context</w:t>
            </w:r>
          </w:p>
        </w:tc>
      </w:tr>
      <w:tr>
        <w:tc>
          <w:tcPr>
            <w:tcW w:type="dxa" w:w="1516"/>
          </w:tcPr>
          <w:p>
            <w:r>
              <w:t>5</w:t>
            </w:r>
          </w:p>
        </w:tc>
        <w:tc>
          <w:tcPr>
            <w:tcW w:type="dxa" w:w="1516"/>
          </w:tcPr>
          <w:p>
            <w:r>
              <w:t>Business Unit Head</w:t>
            </w:r>
          </w:p>
        </w:tc>
        <w:tc>
          <w:tcPr>
            <w:tcW w:type="dxa" w:w="1516"/>
          </w:tcPr>
          <w:p>
            <w:r>
              <w:t>Review recommendations and submit adjustments via Compensation Adjustment UI</w:t>
            </w:r>
          </w:p>
        </w:tc>
        <w:tc>
          <w:tcPr>
            <w:tcW w:type="dxa" w:w="1516"/>
          </w:tcPr>
          <w:p>
            <w:r>
              <w:t>Oracle HCM</w:t>
            </w:r>
          </w:p>
        </w:tc>
        <w:tc>
          <w:tcPr>
            <w:tcW w:type="dxa" w:w="1516"/>
          </w:tcPr>
          <w:p>
            <w:r>
              <w:t>Adjustment records created in COMP_ADJUSTMENT_TBL with status 'Pending Approval'</w:t>
            </w:r>
          </w:p>
        </w:tc>
        <w:tc>
          <w:tcPr>
            <w:tcW w:type="dxa" w:w="1516"/>
          </w:tcPr>
          <w:p>
            <w:r>
              <w:t>Configure multi‑level approval workflow (Setup and Maintenance → Compensation → Compensation Approval Rules) – Level 1: BU Head, Level 2: Regional HR Director, Level 3: Global Compensation Manager</w:t>
            </w:r>
          </w:p>
        </w:tc>
      </w:tr>
      <w:tr>
        <w:tc>
          <w:tcPr>
            <w:tcW w:type="dxa" w:w="1516"/>
          </w:tcPr>
          <w:p>
            <w:r>
              <w:t>6</w:t>
            </w:r>
          </w:p>
        </w:tc>
        <w:tc>
          <w:tcPr>
            <w:tcW w:type="dxa" w:w="1516"/>
          </w:tcPr>
          <w:p>
            <w:r>
              <w:t>Regional HR Director</w:t>
            </w:r>
          </w:p>
        </w:tc>
        <w:tc>
          <w:tcPr>
            <w:tcW w:type="dxa" w:w="1516"/>
          </w:tcPr>
          <w:p>
            <w:r>
              <w:t>Approve or reject BU adjustments; add comments if needed</w:t>
            </w:r>
          </w:p>
        </w:tc>
        <w:tc>
          <w:tcPr>
            <w:tcW w:type="dxa" w:w="1516"/>
          </w:tcPr>
          <w:p>
            <w:r>
              <w:t>Oracle HCM</w:t>
            </w:r>
          </w:p>
        </w:tc>
        <w:tc>
          <w:tcPr>
            <w:tcW w:type="dxa" w:w="1516"/>
          </w:tcPr>
          <w:p>
            <w:r>
              <w:t>Adjustment status updated to 'Approved' or 'Rejected'; audit trail recorded in COMP_ADJUSTMENT_AUDIT_TBL</w:t>
            </w:r>
          </w:p>
        </w:tc>
        <w:tc>
          <w:tcPr>
            <w:tcW w:type="dxa" w:w="1516"/>
          </w:tcPr>
          <w:p>
            <w:r>
              <w:t>Approval task uses 'Compensation Adjustment Approval' transaction; email notification configured via HCM Notification Framework</w:t>
            </w:r>
          </w:p>
        </w:tc>
      </w:tr>
      <w:tr>
        <w:tc>
          <w:tcPr>
            <w:tcW w:type="dxa" w:w="1516"/>
          </w:tcPr>
          <w:p>
            <w:r>
              <w:t>7</w:t>
            </w:r>
          </w:p>
        </w:tc>
        <w:tc>
          <w:tcPr>
            <w:tcW w:type="dxa" w:w="1516"/>
          </w:tcPr>
          <w:p>
            <w:r>
              <w:t>Global Compensation Manager</w:t>
            </w:r>
          </w:p>
        </w:tc>
        <w:tc>
          <w:tcPr>
            <w:tcW w:type="dxa" w:w="1516"/>
          </w:tcPr>
          <w:p>
            <w:r>
              <w:t>Perform final budget validation across all Legal Entities and lock the Compensation Cycle</w:t>
            </w:r>
          </w:p>
        </w:tc>
        <w:tc>
          <w:tcPr>
            <w:tcW w:type="dxa" w:w="1516"/>
          </w:tcPr>
          <w:p>
            <w:r>
              <w:t>Oracle HCM</w:t>
            </w:r>
          </w:p>
        </w:tc>
        <w:tc>
          <w:tcPr>
            <w:tcW w:type="dxa" w:w="1516"/>
          </w:tcPr>
          <w:p>
            <w:r>
              <w:t>Compensation Cycle status changes to 'Closed – Ready for Execution'</w:t>
            </w:r>
          </w:p>
        </w:tc>
        <w:tc>
          <w:tcPr>
            <w:tcW w:type="dxa" w:w="1516"/>
          </w:tcPr>
          <w:p>
            <w:r>
              <w:t>Budget validation rule defined in Setup and Maintenance → Compensation → Compensation Budget Rules; ensure currency conversion settings for USD, CAD, MXN are active</w:t>
            </w:r>
          </w:p>
        </w:tc>
      </w:tr>
      <w:tr>
        <w:tc>
          <w:tcPr>
            <w:tcW w:type="dxa" w:w="1516"/>
          </w:tcPr>
          <w:p>
            <w:r>
              <w:t>8</w:t>
            </w:r>
          </w:p>
        </w:tc>
        <w:tc>
          <w:tcPr>
            <w:tcW w:type="dxa" w:w="1516"/>
          </w:tcPr>
          <w:p>
            <w:r>
              <w:t>Integration Service (OIC)</w:t>
            </w:r>
          </w:p>
        </w:tc>
        <w:tc>
          <w:tcPr>
            <w:tcW w:type="dxa" w:w="1516"/>
          </w:tcPr>
          <w:p>
            <w:r>
              <w:t>Publish approved compensation changes to payroll providers (ADP US, Ceridian Canada) and benefits vendor (Benefitfocus) via REST APIs</w:t>
            </w:r>
          </w:p>
        </w:tc>
        <w:tc>
          <w:tcPr>
            <w:tcW w:type="dxa" w:w="1516"/>
          </w:tcPr>
          <w:p>
            <w:r>
              <w:t>Oracle Integration Cloud (OIC)</w:t>
            </w:r>
          </w:p>
        </w:tc>
        <w:tc>
          <w:tcPr>
            <w:tcW w:type="dxa" w:w="1516"/>
          </w:tcPr>
          <w:p>
            <w:r>
              <w:t>Payroll and benefits systems receive employee compensation updates; acknowledgment receipts stored in OIC_LOG_TBL</w:t>
            </w:r>
          </w:p>
        </w:tc>
        <w:tc>
          <w:tcPr>
            <w:tcW w:type="dxa" w:w="1516"/>
          </w:tcPr>
          <w:p>
            <w:r>
              <w:t>Integration pattern: Event‑driven (Compensation Change Event) → OIC Integration; map Global Employee ID to external system IDs</w:t>
            </w:r>
          </w:p>
        </w:tc>
      </w:tr>
      <w:tr>
        <w:tc>
          <w:tcPr>
            <w:tcW w:type="dxa" w:w="1516"/>
          </w:tcPr>
          <w:p>
            <w:r>
              <w:t>9</w:t>
            </w:r>
          </w:p>
        </w:tc>
        <w:tc>
          <w:tcPr>
            <w:tcW w:type="dxa" w:w="1516"/>
          </w:tcPr>
          <w:p>
            <w:r>
              <w:t>HRIS Analyst</w:t>
            </w:r>
          </w:p>
        </w:tc>
        <w:tc>
          <w:tcPr>
            <w:tcW w:type="dxa" w:w="1516"/>
          </w:tcPr>
          <w:p>
            <w:r>
              <w:t>Run post‑cycle reconciliation report to verify that all approved changes were transmitted and applied</w:t>
            </w:r>
          </w:p>
        </w:tc>
        <w:tc>
          <w:tcPr>
            <w:tcW w:type="dxa" w:w="1516"/>
          </w:tcPr>
          <w:p>
            <w:r>
              <w:t>Oracle HCM</w:t>
            </w:r>
          </w:p>
        </w:tc>
        <w:tc>
          <w:tcPr>
            <w:tcW w:type="dxa" w:w="1516"/>
          </w:tcPr>
          <w:p>
            <w:r>
              <w:t>Reconciliation report flagged any mismatches; corrective workflow initiated if needed</w:t>
            </w:r>
          </w:p>
        </w:tc>
        <w:tc>
          <w:tcPr>
            <w:tcW w:type="dxa" w:w="1516"/>
          </w:tcPr>
          <w:p>
            <w:r>
              <w:t>Use Setup task 'Compensation Reconciliation' and schedule as a daily batch job</w:t>
            </w:r>
          </w:p>
        </w:tc>
      </w:tr>
      <w:tr>
        <w:tc>
          <w:tcPr>
            <w:tcW w:type="dxa" w:w="1516"/>
          </w:tcPr>
          <w:p>
            <w:r>
              <w:t>10</w:t>
            </w:r>
          </w:p>
        </w:tc>
        <w:tc>
          <w:tcPr>
            <w:tcW w:type="dxa" w:w="1516"/>
          </w:tcPr>
          <w:p>
            <w:r>
              <w:t>HR Communications Team</w:t>
            </w:r>
          </w:p>
        </w:tc>
        <w:tc>
          <w:tcPr>
            <w:tcW w:type="dxa" w:w="1516"/>
          </w:tcPr>
          <w:p>
            <w:r>
              <w:t>Distribute compensation letters to employees via self‑service portal (language selected per employee preference)</w:t>
            </w:r>
          </w:p>
        </w:tc>
        <w:tc>
          <w:tcPr>
            <w:tcW w:type="dxa" w:w="1516"/>
          </w:tcPr>
          <w:p>
            <w:r>
              <w:t>Oracle HCM (Self‑Service) | Email</w:t>
            </w:r>
          </w:p>
        </w:tc>
        <w:tc>
          <w:tcPr>
            <w:tcW w:type="dxa" w:w="1516"/>
          </w:tcPr>
          <w:p>
            <w:r>
              <w:t>Employees receive personalized compensation letters in EN, ES, or FR‑CA</w:t>
            </w:r>
          </w:p>
        </w:tc>
        <w:tc>
          <w:tcPr>
            <w:tcW w:type="dxa" w:w="1516"/>
          </w:tcPr>
          <w:p>
            <w:r>
              <w:t>Letter template built in HCM Experience Design Studio; language fallback logic configured in Setup and Maintenance → Globalization → Language Preferences</w:t>
            </w:r>
          </w:p>
        </w:tc>
      </w:tr>
    </w:tbl>
    <w:p>
      <w:r>
        <w:rPr>
          <w:b/>
        </w:rPr>
        <w:t xml:space="preserve">Approval Required: </w:t>
      </w:r>
      <w:r>
        <w:t>Business Unit Head, Regional HR Director, Global Compensation Manager</w:t>
      </w:r>
    </w:p>
    <w:p>
      <w:r>
        <w:t>Notes: All configuration artifacts (eligibility rules, approval rules, budget rules, UI language packs) must be version‑controlled in the project's HDL deployment package. Ensure that the Global Employee ID is defined as the primary key in the Person and Assignment objects (Setup and Maintenance → Person Management → Global Person ID).</w:t>
      </w:r>
    </w:p>
    <w:p>
      <w:pPr>
        <w:pStyle w:val="Heading2"/>
      </w:pPr>
      <w:r>
        <w:t>4.5.3 Individual Compensation</w:t>
      </w:r>
    </w:p>
    <w:p>
      <w:r>
        <w:t>Module: Compensation &amp; Benefits  |  Oracle Transaction: Individual Compensation</w:t>
      </w:r>
    </w:p>
    <w:p>
      <w:r>
        <w:t>Trigger: Initiated by authorised user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Initiate transaction</w:t>
            </w:r>
          </w:p>
        </w:tc>
        <w:tc>
          <w:tcPr>
            <w:tcW w:type="dxa" w:w="1516"/>
          </w:tcPr>
          <w:p>
            <w:r>
              <w:t>Oracle HCM</w:t>
            </w:r>
          </w:p>
        </w:tc>
        <w:tc>
          <w:tcPr>
            <w:tcW w:type="dxa" w:w="1516"/>
          </w:tcPr>
          <w:p>
            <w:r>
              <w:t>Transaction started</w:t>
            </w:r>
          </w:p>
        </w:tc>
        <w:tc>
          <w:tcPr>
            <w:tcW w:type="dxa" w:w="1516"/>
          </w:tcPr>
          <w:p>
            <w:r/>
          </w:p>
        </w:tc>
      </w:tr>
      <w:tr>
        <w:tc>
          <w:tcPr>
            <w:tcW w:type="dxa" w:w="1516"/>
          </w:tcPr>
          <w:p>
            <w:r>
              <w:t>2</w:t>
            </w:r>
          </w:p>
        </w:tc>
        <w:tc>
          <w:tcPr>
            <w:tcW w:type="dxa" w:w="1516"/>
          </w:tcPr>
          <w:p>
            <w:r>
              <w:t>Manager</w:t>
            </w:r>
          </w:p>
        </w:tc>
        <w:tc>
          <w:tcPr>
            <w:tcW w:type="dxa" w:w="1516"/>
          </w:tcPr>
          <w:p>
            <w:r>
              <w:t>Review and approve</w:t>
            </w:r>
          </w:p>
        </w:tc>
        <w:tc>
          <w:tcPr>
            <w:tcW w:type="dxa" w:w="1516"/>
          </w:tcPr>
          <w:p>
            <w:r>
              <w:t>Oracle HCM – Worklist</w:t>
            </w:r>
          </w:p>
        </w:tc>
        <w:tc>
          <w:tcPr>
            <w:tcW w:type="dxa" w:w="1516"/>
          </w:tcPr>
          <w:p>
            <w:r>
              <w:t>Approved/Rejected</w:t>
            </w:r>
          </w:p>
        </w:tc>
        <w:tc>
          <w:tcPr>
            <w:tcW w:type="dxa" w:w="1516"/>
          </w:tcPr>
          <w:p>
            <w:r/>
          </w:p>
        </w:tc>
      </w:tr>
      <w:tr>
        <w:tc>
          <w:tcPr>
            <w:tcW w:type="dxa" w:w="1516"/>
          </w:tcPr>
          <w:p>
            <w:r>
              <w:t>3</w:t>
            </w:r>
          </w:p>
        </w:tc>
        <w:tc>
          <w:tcPr>
            <w:tcW w:type="dxa" w:w="1516"/>
          </w:tcPr>
          <w:p>
            <w:r>
              <w:t>HR Specialist</w:t>
            </w:r>
          </w:p>
        </w:tc>
        <w:tc>
          <w:tcPr>
            <w:tcW w:type="dxa" w:w="1516"/>
          </w:tcPr>
          <w:p>
            <w:r>
              <w:t>Confirm completion</w:t>
            </w:r>
          </w:p>
        </w:tc>
        <w:tc>
          <w:tcPr>
            <w:tcW w:type="dxa" w:w="1516"/>
          </w:tcPr>
          <w:p>
            <w:r>
              <w:t>Oracle HCM</w:t>
            </w:r>
          </w:p>
        </w:tc>
        <w:tc>
          <w:tcPr>
            <w:tcW w:type="dxa" w:w="1516"/>
          </w:tcPr>
          <w:p>
            <w:r>
              <w:t>Record updated</w:t>
            </w:r>
          </w:p>
        </w:tc>
        <w:tc>
          <w:tcPr>
            <w:tcW w:type="dxa" w:w="1516"/>
          </w:tcPr>
          <w:p>
            <w:r/>
          </w:p>
        </w:tc>
      </w:tr>
    </w:tbl>
    <w:p>
      <w:r>
        <w:rPr>
          <w:b/>
        </w:rPr>
        <w:t xml:space="preserve">Approval Required: </w:t>
      </w:r>
      <w:r>
        <w:t>Line Manager</w:t>
      </w:r>
    </w:p>
    <w:p>
      <w:r>
        <w:t>Notes: Detailed flow to be confirmed during process workshops.</w:t>
      </w:r>
    </w:p>
    <w:p>
      <w:pPr>
        <w:pStyle w:val="Heading2"/>
      </w:pPr>
      <w:r>
        <w:t>4.5.4 Benefits Open Enrollment</w:t>
      </w:r>
    </w:p>
    <w:p>
      <w:r>
        <w:t>Module: Compensation &amp; Benefits  |  Oracle Transaction: Self-Service Benefits</w:t>
      </w:r>
    </w:p>
    <w:p>
      <w:r>
        <w:t>Trigger: Scheduled start of Open Enrollment window (Setup and Maintenance &gt; Benefits &gt; Open Enrollment &gt; Define Open Enrollment Period) OR employee‑initiated enrollment request during the window via Self‑Service Benefits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System Scheduler</w:t>
            </w:r>
          </w:p>
        </w:tc>
        <w:tc>
          <w:tcPr>
            <w:tcW w:type="dxa" w:w="1516"/>
          </w:tcPr>
          <w:p>
            <w:r>
              <w:t>Activate Open Enrollment window</w:t>
            </w:r>
          </w:p>
        </w:tc>
        <w:tc>
          <w:tcPr>
            <w:tcW w:type="dxa" w:w="1516"/>
          </w:tcPr>
          <w:p>
            <w:r>
              <w:t>Oracle HCM (Setup and Maintenance &gt; Benefits &gt; Open Enrollment &gt; Define Open Enrollment Period)</w:t>
            </w:r>
          </w:p>
        </w:tc>
        <w:tc>
          <w:tcPr>
            <w:tcW w:type="dxa" w:w="1516"/>
          </w:tcPr>
          <w:p>
            <w:r>
              <w:t>Enrollment status set to “Open” for all eligible employees; UI language packs (EN/ES/FR‑CA) enabled</w:t>
            </w:r>
          </w:p>
        </w:tc>
        <w:tc>
          <w:tcPr>
            <w:tcW w:type="dxa" w:w="1516"/>
          </w:tcPr>
          <w:p>
            <w:r>
              <w:t>Ensure language‑specific help content is published via HCM Experience Design Studio; set ‘Enable Bilingual UI’ flag in Setup and Maintenance &gt; Globalization &gt; Language Settings</w:t>
            </w:r>
          </w:p>
        </w:tc>
      </w:tr>
      <w:tr>
        <w:tc>
          <w:tcPr>
            <w:tcW w:type="dxa" w:w="1516"/>
          </w:tcPr>
          <w:p>
            <w:r>
              <w:t>2</w:t>
            </w:r>
          </w:p>
        </w:tc>
        <w:tc>
          <w:tcPr>
            <w:tcW w:type="dxa" w:w="1516"/>
          </w:tcPr>
          <w:p>
            <w:r>
              <w:t>Employee</w:t>
            </w:r>
          </w:p>
        </w:tc>
        <w:tc>
          <w:tcPr>
            <w:tcW w:type="dxa" w:w="1516"/>
          </w:tcPr>
          <w:p>
            <w:r>
              <w:t>Log in to Self‑Service Benefits and review available benefit plans</w:t>
            </w:r>
          </w:p>
        </w:tc>
        <w:tc>
          <w:tcPr>
            <w:tcW w:type="dxa" w:w="1516"/>
          </w:tcPr>
          <w:p>
            <w:r>
              <w:t>Oracle HCM – Self‑Service Benefits (HCM Cloud UI)</w:t>
            </w:r>
          </w:p>
        </w:tc>
        <w:tc>
          <w:tcPr>
            <w:tcW w:type="dxa" w:w="1516"/>
          </w:tcPr>
          <w:p>
            <w:r>
              <w:t>Employee sees plan catalog filtered by Legal Entity, Business Unit, and eligibility rules</w:t>
            </w:r>
          </w:p>
        </w:tc>
        <w:tc>
          <w:tcPr>
            <w:tcW w:type="dxa" w:w="1516"/>
          </w:tcPr>
          <w:p>
            <w:r>
              <w:t>Plan eligibility defined in Setup and Maintenance &gt; Benefits &gt; Eligibility Rules; use “Eligibility Rule Set” to include union status and credentialing flag</w:t>
            </w:r>
          </w:p>
        </w:tc>
      </w:tr>
      <w:tr>
        <w:tc>
          <w:tcPr>
            <w:tcW w:type="dxa" w:w="1516"/>
          </w:tcPr>
          <w:p>
            <w:r>
              <w:t>3</w:t>
            </w:r>
          </w:p>
        </w:tc>
        <w:tc>
          <w:tcPr>
            <w:tcW w:type="dxa" w:w="1516"/>
          </w:tcPr>
          <w:p>
            <w:r>
              <w:t>Employee</w:t>
            </w:r>
          </w:p>
        </w:tc>
        <w:tc>
          <w:tcPr>
            <w:tcW w:type="dxa" w:w="1516"/>
          </w:tcPr>
          <w:p>
            <w:r>
              <w:t>Select or modify benefit elections and upload required supporting documents (e.g., spouse ID, dependent proof)</w:t>
            </w:r>
          </w:p>
        </w:tc>
        <w:tc>
          <w:tcPr>
            <w:tcW w:type="dxa" w:w="1516"/>
          </w:tcPr>
          <w:p>
            <w:r>
              <w:t>Oracle HCM – Self‑Service Benefits</w:t>
            </w:r>
          </w:p>
        </w:tc>
        <w:tc>
          <w:tcPr>
            <w:tcW w:type="dxa" w:w="1516"/>
          </w:tcPr>
          <w:p>
            <w:r>
              <w:t>Benefit election record created in HCM_BENEFIT_ELECTIONS table with status ‘Pending Approval’</w:t>
            </w:r>
          </w:p>
        </w:tc>
        <w:tc>
          <w:tcPr>
            <w:tcW w:type="dxa" w:w="1516"/>
          </w:tcPr>
          <w:p>
            <w:r>
              <w:t>Document types configured via Setup and Maintenance &gt; Benefits &gt; Document Types; enable OCR for scanned documents if required</w:t>
            </w:r>
          </w:p>
        </w:tc>
      </w:tr>
      <w:tr>
        <w:tc>
          <w:tcPr>
            <w:tcW w:type="dxa" w:w="1516"/>
          </w:tcPr>
          <w:p>
            <w:r>
              <w:t>4</w:t>
            </w:r>
          </w:p>
        </w:tc>
        <w:tc>
          <w:tcPr>
            <w:tcW w:type="dxa" w:w="1516"/>
          </w:tcPr>
          <w:p>
            <w:r>
              <w:t>Line Manager</w:t>
            </w:r>
          </w:p>
        </w:tc>
        <w:tc>
          <w:tcPr>
            <w:tcW w:type="dxa" w:w="1516"/>
          </w:tcPr>
          <w:p>
            <w:r>
              <w:t>Review employee’s benefit election request and approve/reject</w:t>
            </w:r>
          </w:p>
        </w:tc>
        <w:tc>
          <w:tcPr>
            <w:tcW w:type="dxa" w:w="1516"/>
          </w:tcPr>
          <w:p>
            <w:r>
              <w:t>Oracle HCM – Manager Self‑Service</w:t>
            </w:r>
          </w:p>
        </w:tc>
        <w:tc>
          <w:tcPr>
            <w:tcW w:type="dxa" w:w="1516"/>
          </w:tcPr>
          <w:p>
            <w:r>
              <w:t>Manager decision recorded; status changes to ‘Manager Approved’ or ‘Manager Rejected’</w:t>
            </w:r>
          </w:p>
        </w:tc>
        <w:tc>
          <w:tcPr>
            <w:tcW w:type="dxa" w:w="1516"/>
          </w:tcPr>
          <w:p>
            <w:r>
              <w:t>Manager approval workflow defined in Setup and Maintenance &gt; Workflow &gt; Manage Workflows &gt; Benefits Election Approval; assign “Benefits Election – Manager Approval” task</w:t>
            </w:r>
          </w:p>
        </w:tc>
      </w:tr>
      <w:tr>
        <w:tc>
          <w:tcPr>
            <w:tcW w:type="dxa" w:w="1516"/>
          </w:tcPr>
          <w:p>
            <w:r>
              <w:t>5</w:t>
            </w:r>
          </w:p>
        </w:tc>
        <w:tc>
          <w:tcPr>
            <w:tcW w:type="dxa" w:w="1516"/>
          </w:tcPr>
          <w:p>
            <w:r>
              <w:t>HR Benefits Administrator</w:t>
            </w:r>
          </w:p>
        </w:tc>
        <w:tc>
          <w:tcPr>
            <w:tcW w:type="dxa" w:w="1516"/>
          </w:tcPr>
          <w:p>
            <w:r>
              <w:t>Validate eligibility (union, credentialing status) and confirm plan availability</w:t>
            </w:r>
          </w:p>
        </w:tc>
        <w:tc>
          <w:tcPr>
            <w:tcW w:type="dxa" w:w="1516"/>
          </w:tcPr>
          <w:p>
            <w:r>
              <w:t>Oracle HCM – HR Benefits Console</w:t>
            </w:r>
          </w:p>
        </w:tc>
        <w:tc>
          <w:tcPr>
            <w:tcW w:type="dxa" w:w="1516"/>
          </w:tcPr>
          <w:p>
            <w:r>
              <w:t>HR decision recorded; status changes to ‘HR Approved’ or ‘HR Rejected’</w:t>
            </w:r>
          </w:p>
        </w:tc>
        <w:tc>
          <w:tcPr>
            <w:tcW w:type="dxa" w:w="1516"/>
          </w:tcPr>
          <w:p>
            <w:r>
              <w:t>Eligibility validation uses real‑time flags from Symplr (via OIC) stored in HCM_PERSON_CRED_STATUS; configure OIC integration task ‘Symplr Credential Sync’</w:t>
            </w:r>
          </w:p>
        </w:tc>
      </w:tr>
      <w:tr>
        <w:tc>
          <w:tcPr>
            <w:tcW w:type="dxa" w:w="1516"/>
          </w:tcPr>
          <w:p>
            <w:r>
              <w:t>6</w:t>
            </w:r>
          </w:p>
        </w:tc>
        <w:tc>
          <w:tcPr>
            <w:tcW w:type="dxa" w:w="1516"/>
          </w:tcPr>
          <w:p>
            <w:r>
              <w:t>System</w:t>
            </w:r>
          </w:p>
        </w:tc>
        <w:tc>
          <w:tcPr>
            <w:tcW w:type="dxa" w:w="1516"/>
          </w:tcPr>
          <w:p>
            <w:r>
              <w:t>Trigger Benefits Election workflow to Finance approver for cost allocation</w:t>
            </w:r>
          </w:p>
        </w:tc>
        <w:tc>
          <w:tcPr>
            <w:tcW w:type="dxa" w:w="1516"/>
          </w:tcPr>
          <w:p>
            <w:r>
              <w:t>Oracle Workflow Engine</w:t>
            </w:r>
          </w:p>
        </w:tc>
        <w:tc>
          <w:tcPr>
            <w:tcW w:type="dxa" w:w="1516"/>
          </w:tcPr>
          <w:p>
            <w:r>
              <w:t>Finance approval task created; status set to ‘Finance Pending’</w:t>
            </w:r>
          </w:p>
        </w:tc>
        <w:tc>
          <w:tcPr>
            <w:tcW w:type="dxa" w:w="1516"/>
          </w:tcPr>
          <w:p>
            <w:r>
              <w:t>Finance approver task defined in Setup and Maintenance &gt; Workflow &gt; Manage Workflows &gt; Benefits Cost Allocation Approval</w:t>
            </w:r>
          </w:p>
        </w:tc>
      </w:tr>
      <w:tr>
        <w:tc>
          <w:tcPr>
            <w:tcW w:type="dxa" w:w="1516"/>
          </w:tcPr>
          <w:p>
            <w:r>
              <w:t>7</w:t>
            </w:r>
          </w:p>
        </w:tc>
        <w:tc>
          <w:tcPr>
            <w:tcW w:type="dxa" w:w="1516"/>
          </w:tcPr>
          <w:p>
            <w:r>
              <w:t>Finance Approver (Legal Entity Finance Manager)</w:t>
            </w:r>
          </w:p>
        </w:tc>
        <w:tc>
          <w:tcPr>
            <w:tcW w:type="dxa" w:w="1516"/>
          </w:tcPr>
          <w:p>
            <w:r>
              <w:t>Approve cost allocation and budget impact</w:t>
            </w:r>
          </w:p>
        </w:tc>
        <w:tc>
          <w:tcPr>
            <w:tcW w:type="dxa" w:w="1516"/>
          </w:tcPr>
          <w:p>
            <w:r>
              <w:t>Oracle HCM – Finance Self‑Service</w:t>
            </w:r>
          </w:p>
        </w:tc>
        <w:tc>
          <w:tcPr>
            <w:tcW w:type="dxa" w:w="1516"/>
          </w:tcPr>
          <w:p>
            <w:r>
              <w:t>Status changes to ‘Approved – Ready for Transmission’</w:t>
            </w:r>
          </w:p>
        </w:tc>
        <w:tc>
          <w:tcPr>
            <w:tcW w:type="dxa" w:w="1516"/>
          </w:tcPr>
          <w:p>
            <w:r>
              <w:t>Budget validation rules configured via Setup and Maintenance &gt; Financial Management &gt; Budget Rules</w:t>
            </w:r>
          </w:p>
        </w:tc>
      </w:tr>
      <w:tr>
        <w:tc>
          <w:tcPr>
            <w:tcW w:type="dxa" w:w="1516"/>
          </w:tcPr>
          <w:p>
            <w:r>
              <w:t>8</w:t>
            </w:r>
          </w:p>
        </w:tc>
        <w:tc>
          <w:tcPr>
            <w:tcW w:type="dxa" w:w="1516"/>
          </w:tcPr>
          <w:p>
            <w:r>
              <w:t>System (OIC Integration)</w:t>
            </w:r>
          </w:p>
        </w:tc>
        <w:tc>
          <w:tcPr>
            <w:tcW w:type="dxa" w:w="1516"/>
          </w:tcPr>
          <w:p>
            <w:r>
              <w:t>Transmit final benefit election data to third‑party vendor (Benefitfocus) and payroll providers (ADP US / Ceridian Canada)</w:t>
            </w:r>
          </w:p>
        </w:tc>
        <w:tc>
          <w:tcPr>
            <w:tcW w:type="dxa" w:w="1516"/>
          </w:tcPr>
          <w:p>
            <w:r>
              <w:t>Oracle Integration Cloud (OIC) – Benefits Integration Flow</w:t>
            </w:r>
          </w:p>
        </w:tc>
        <w:tc>
          <w:tcPr>
            <w:tcW w:type="dxa" w:w="1516"/>
          </w:tcPr>
          <w:p>
            <w:r>
              <w:t>Benefit data loaded into Benefitfocus via HDL – HCM Data Loader; payroll deductions updated in ADP/Ceridian</w:t>
            </w:r>
          </w:p>
        </w:tc>
        <w:tc>
          <w:tcPr>
            <w:tcW w:type="dxa" w:w="1516"/>
          </w:tcPr>
          <w:p>
            <w:r>
              <w:t>Integration design documented in OIC – Integration Catalog; use ‘Benefit Election Export’ HDL template</w:t>
            </w:r>
          </w:p>
        </w:tc>
      </w:tr>
      <w:tr>
        <w:tc>
          <w:tcPr>
            <w:tcW w:type="dxa" w:w="1516"/>
          </w:tcPr>
          <w:p>
            <w:r>
              <w:t>9</w:t>
            </w:r>
          </w:p>
        </w:tc>
        <w:tc>
          <w:tcPr>
            <w:tcW w:type="dxa" w:w="1516"/>
          </w:tcPr>
          <w:p>
            <w:r>
              <w:t>Employee</w:t>
            </w:r>
          </w:p>
        </w:tc>
        <w:tc>
          <w:tcPr>
            <w:tcW w:type="dxa" w:w="1516"/>
          </w:tcPr>
          <w:p>
            <w:r>
              <w:t>Receive confirmation email with enrollment summary and language‑specific help links</w:t>
            </w:r>
          </w:p>
        </w:tc>
        <w:tc>
          <w:tcPr>
            <w:tcW w:type="dxa" w:w="1516"/>
          </w:tcPr>
          <w:p>
            <w:r>
              <w:t>Email (Oracle Notification Service)</w:t>
            </w:r>
          </w:p>
        </w:tc>
        <w:tc>
          <w:tcPr>
            <w:tcW w:type="dxa" w:w="1516"/>
          </w:tcPr>
          <w:p>
            <w:r>
              <w:t>Employee has official record of elected benefits</w:t>
            </w:r>
          </w:p>
        </w:tc>
        <w:tc>
          <w:tcPr>
            <w:tcW w:type="dxa" w:w="1516"/>
          </w:tcPr>
          <w:p>
            <w:r>
              <w:t>Email template managed in Setup and Maintenance &gt; Notifications &gt; Manage Notification Templates; include EN/ES/FR‑CA dynamic language token</w:t>
            </w:r>
          </w:p>
        </w:tc>
      </w:tr>
      <w:tr>
        <w:tc>
          <w:tcPr>
            <w:tcW w:type="dxa" w:w="1516"/>
          </w:tcPr>
          <w:p>
            <w:r>
              <w:t>10</w:t>
            </w:r>
          </w:p>
        </w:tc>
        <w:tc>
          <w:tcPr>
            <w:tcW w:type="dxa" w:w="1516"/>
          </w:tcPr>
          <w:p>
            <w:r>
              <w:t>System Scheduler</w:t>
            </w:r>
          </w:p>
        </w:tc>
        <w:tc>
          <w:tcPr>
            <w:tcW w:type="dxa" w:w="1516"/>
          </w:tcPr>
          <w:p>
            <w:r>
              <w:t>Close Open Enrollment window at scheduled end date</w:t>
            </w:r>
          </w:p>
        </w:tc>
        <w:tc>
          <w:tcPr>
            <w:tcW w:type="dxa" w:w="1516"/>
          </w:tcPr>
          <w:p>
            <w:r>
              <w:t>Oracle HCM (Setup and Maintenance &gt; Benefits &gt; Open Enrollment &gt; Define Open Enrollment Period)</w:t>
            </w:r>
          </w:p>
        </w:tc>
        <w:tc>
          <w:tcPr>
            <w:tcW w:type="dxa" w:w="1516"/>
          </w:tcPr>
          <w:p>
            <w:r>
              <w:t>Enrollment status set to ‘Closed’; no further changes allowed unless exception workflow invoked</w:t>
            </w:r>
          </w:p>
        </w:tc>
        <w:tc>
          <w:tcPr>
            <w:tcW w:type="dxa" w:w="1516"/>
          </w:tcPr>
          <w:p>
            <w:r>
              <w:t>Exception workflow (e.g., life event) configured via Setup and Maintenance &gt; Benefits &gt; Life Event Management</w:t>
            </w:r>
          </w:p>
        </w:tc>
      </w:tr>
    </w:tbl>
    <w:p>
      <w:r>
        <w:rPr>
          <w:b/>
        </w:rPr>
        <w:t xml:space="preserve">Approval Required: </w:t>
      </w:r>
      <w:r>
        <w:t>Line Manager, HR Benefits Administrator, Legal Entity Finance Manager</w:t>
      </w:r>
    </w:p>
    <w:p>
      <w:r>
        <w:t>Notes: All benefit plan definitions, eligibility rules, and language packs must be pre‑loaded before the enrollment window opens. Use HDL – HCM Data Loader for bulk plan maintenance (Setup and Maintenance &gt; Data Exchange &gt; Import &gt; HDL). Ensure OIC error handling captures any transmission failures to Benefitfocus or payroll providers and routes them to the Benefits Integration Support queue.</w:t>
      </w:r>
    </w:p>
    <w:p>
      <w:pPr>
        <w:pStyle w:val="Heading2"/>
      </w:pPr>
      <w:r>
        <w:t>4.5.5 Life Event Processing</w:t>
      </w:r>
    </w:p>
    <w:p>
      <w:r>
        <w:t>Module: Compensation &amp; Benefits  |  Oracle Transaction: Manage Life Events</w:t>
      </w:r>
    </w:p>
    <w:p>
      <w:r>
        <w:t>Trigger: Creation, modification, or termination of an employee record (Hire, Transfer, Promotion, Compensation Change, Termination, Credential Status Update)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Recruiter / HRIS Analyst</w:t>
            </w:r>
          </w:p>
        </w:tc>
        <w:tc>
          <w:tcPr>
            <w:tcW w:type="dxa" w:w="1516"/>
          </w:tcPr>
          <w:p>
            <w:r>
              <w:t>Enter life‑event details in the Employee Self‑Service (ESS) or HR Representative UI</w:t>
            </w:r>
          </w:p>
        </w:tc>
        <w:tc>
          <w:tcPr>
            <w:tcW w:type="dxa" w:w="1516"/>
          </w:tcPr>
          <w:p>
            <w:r>
              <w:t>Oracle HCM (Core HR – Manage Employee Records)</w:t>
            </w:r>
          </w:p>
        </w:tc>
        <w:tc>
          <w:tcPr>
            <w:tcW w:type="dxa" w:w="1516"/>
          </w:tcPr>
          <w:p>
            <w:r>
              <w:t>Preliminary life‑event record is created with a unique Global Person Number (GPN)</w:t>
            </w:r>
          </w:p>
        </w:tc>
        <w:tc>
          <w:tcPr>
            <w:tcW w:type="dxa" w:w="1516"/>
          </w:tcPr>
          <w:p>
            <w:r>
              <w:t>Configuration: Setup and Maintenance &gt; Workforce Structures &gt; Manage Global Person Numbers; enable ‘Allow Life Event Creation from ESS/HR Rep UI’</w:t>
            </w:r>
          </w:p>
        </w:tc>
      </w:tr>
      <w:tr>
        <w:tc>
          <w:tcPr>
            <w:tcW w:type="dxa" w:w="1516"/>
          </w:tcPr>
          <w:p>
            <w:r>
              <w:t>2</w:t>
            </w:r>
          </w:p>
        </w:tc>
        <w:tc>
          <w:tcPr>
            <w:tcW w:type="dxa" w:w="1516"/>
          </w:tcPr>
          <w:p>
            <w:r>
              <w:t>Credentialing Integration Service (Symplr)</w:t>
            </w:r>
          </w:p>
        </w:tc>
        <w:tc>
          <w:tcPr>
            <w:tcW w:type="dxa" w:w="1516"/>
          </w:tcPr>
          <w:p>
            <w:r>
              <w:t>Push real‑time credentialing status to the employee’s Credentialing profile via OIC</w:t>
            </w:r>
          </w:p>
        </w:tc>
        <w:tc>
          <w:tcPr>
            <w:tcW w:type="dxa" w:w="1516"/>
          </w:tcPr>
          <w:p>
            <w:r>
              <w:t>External System (Symplr) → OIC → Oracle HCM (Credentialing)</w:t>
            </w:r>
          </w:p>
        </w:tc>
        <w:tc>
          <w:tcPr>
            <w:tcW w:type="dxa" w:w="1516"/>
          </w:tcPr>
          <w:p>
            <w:r>
              <w:t>Credential status flag (Active/Expired/Revoked) is stored on the employee record</w:t>
            </w:r>
          </w:p>
        </w:tc>
        <w:tc>
          <w:tcPr>
            <w:tcW w:type="dxa" w:w="1516"/>
          </w:tcPr>
          <w:p>
            <w:r>
              <w:t>Configuration: Setup and Maintenance &gt; Integration &gt; Manage OIC Integrations – create ‘Symplr Credential Sync’ integration; map Symplr status to HCM Credentialing attribute</w:t>
            </w:r>
          </w:p>
        </w:tc>
      </w:tr>
      <w:tr>
        <w:tc>
          <w:tcPr>
            <w:tcW w:type="dxa" w:w="1516"/>
          </w:tcPr>
          <w:p>
            <w:r>
              <w:t>3</w:t>
            </w:r>
          </w:p>
        </w:tc>
        <w:tc>
          <w:tcPr>
            <w:tcW w:type="dxa" w:w="1516"/>
          </w:tcPr>
          <w:p>
            <w:r>
              <w:t>Process Automation Engine</w:t>
            </w:r>
          </w:p>
        </w:tc>
        <w:tc>
          <w:tcPr>
            <w:tcW w:type="dxa" w:w="1516"/>
          </w:tcPr>
          <w:p>
            <w:r>
              <w:t>Validate mandatory data (legal entity, business unit, union code, credential flag) and raise validation errors if missing</w:t>
            </w:r>
          </w:p>
        </w:tc>
        <w:tc>
          <w:tcPr>
            <w:tcW w:type="dxa" w:w="1516"/>
          </w:tcPr>
          <w:p>
            <w:r>
              <w:t>Oracle HCM (Process Automation)</w:t>
            </w:r>
          </w:p>
        </w:tc>
        <w:tc>
          <w:tcPr>
            <w:tcW w:type="dxa" w:w="1516"/>
          </w:tcPr>
          <w:p>
            <w:r>
              <w:t>Event passes validation or is returned to actor for correction</w:t>
            </w:r>
          </w:p>
        </w:tc>
        <w:tc>
          <w:tcPr>
            <w:tcW w:type="dxa" w:w="1516"/>
          </w:tcPr>
          <w:p>
            <w:r>
              <w:t>Configuration: Setup and Maintenance &gt; Process Automation &gt; Manage Event Triggers – define ‘Life Event Validation Rules’ referencing legal entity (Setup and Maintenance &gt; Workforce Structures &gt; Manage Legal Entities) and union (Setup and Maintenance &gt; Workforce Structures &gt; Manage Union Agreements)</w:t>
            </w:r>
          </w:p>
        </w:tc>
      </w:tr>
      <w:tr>
        <w:tc>
          <w:tcPr>
            <w:tcW w:type="dxa" w:w="1516"/>
          </w:tcPr>
          <w:p>
            <w:r>
              <w:t>4</w:t>
            </w:r>
          </w:p>
        </w:tc>
        <w:tc>
          <w:tcPr>
            <w:tcW w:type="dxa" w:w="1516"/>
          </w:tcPr>
          <w:p>
            <w:r>
              <w:t>HR Manager / Compensation Manager / Benefits Manager</w:t>
            </w:r>
          </w:p>
        </w:tc>
        <w:tc>
          <w:tcPr>
            <w:tcW w:type="dxa" w:w="1516"/>
          </w:tcPr>
          <w:p>
            <w:r>
              <w:t>Approve or reject the life‑event through the Approval Workflow</w:t>
            </w:r>
          </w:p>
        </w:tc>
        <w:tc>
          <w:tcPr>
            <w:tcW w:type="dxa" w:w="1516"/>
          </w:tcPr>
          <w:p>
            <w:r>
              <w:t>Oracle HCM (Approval Management)</w:t>
            </w:r>
          </w:p>
        </w:tc>
        <w:tc>
          <w:tcPr>
            <w:tcW w:type="dxa" w:w="1516"/>
          </w:tcPr>
          <w:p>
            <w:r>
              <w:t>Approved events move to execution; rejected events are logged and notified</w:t>
            </w:r>
          </w:p>
        </w:tc>
        <w:tc>
          <w:tcPr>
            <w:tcW w:type="dxa" w:w="1516"/>
          </w:tcPr>
          <w:p>
            <w:r>
              <w:t>Configuration: Setup and Maintenance &gt; Process Automation &gt; Manage Approval Rules – create multi‑level rule set ‘Life Event Approval Matrix’ (HR Manager → Compensation Manager → Benefits Manager → Legal Entity CFO → Union Rep for unionized staff)</w:t>
            </w:r>
          </w:p>
        </w:tc>
      </w:tr>
      <w:tr>
        <w:tc>
          <w:tcPr>
            <w:tcW w:type="dxa" w:w="1516"/>
          </w:tcPr>
          <w:p>
            <w:r>
              <w:t>5</w:t>
            </w:r>
          </w:p>
        </w:tc>
        <w:tc>
          <w:tcPr>
            <w:tcW w:type="dxa" w:w="1516"/>
          </w:tcPr>
          <w:p>
            <w:r>
              <w:t>HRIS System</w:t>
            </w:r>
          </w:p>
        </w:tc>
        <w:tc>
          <w:tcPr>
            <w:tcW w:type="dxa" w:w="1516"/>
          </w:tcPr>
          <w:p>
            <w:r>
              <w:t>Update employee master data (assign Business Unit, Job, Compensation Grade, Benefit Eligibility) and generate audit entry</w:t>
            </w:r>
          </w:p>
        </w:tc>
        <w:tc>
          <w:tcPr>
            <w:tcW w:type="dxa" w:w="1516"/>
          </w:tcPr>
          <w:p>
            <w:r>
              <w:t>Oracle HCM (Core HR, Compensation, Benefits)</w:t>
            </w:r>
          </w:p>
        </w:tc>
        <w:tc>
          <w:tcPr>
            <w:tcW w:type="dxa" w:w="1516"/>
          </w:tcPr>
          <w:p>
            <w:r>
              <w:t>Employee master record reflects the new life‑event; audit record stored in HCM_AUDIT_EVENT table</w:t>
            </w:r>
          </w:p>
        </w:tc>
        <w:tc>
          <w:tcPr>
            <w:tcW w:type="dxa" w:w="1516"/>
          </w:tcPr>
          <w:p>
            <w:r>
              <w:t>Configuration: Setup and Maintenance &gt; Compensation &gt; Manage Compensation Plans; Setup and Maintenance &gt; Benefits &gt; Manage Benefit Plans – ensure plans are linked to Business Units and legal entities</w:t>
            </w:r>
          </w:p>
        </w:tc>
      </w:tr>
      <w:tr>
        <w:tc>
          <w:tcPr>
            <w:tcW w:type="dxa" w:w="1516"/>
          </w:tcPr>
          <w:p>
            <w:r>
              <w:t>6</w:t>
            </w:r>
          </w:p>
        </w:tc>
        <w:tc>
          <w:tcPr>
            <w:tcW w:type="dxa" w:w="1516"/>
          </w:tcPr>
          <w:p>
            <w:r>
              <w:t>OIC Integration Service</w:t>
            </w:r>
          </w:p>
        </w:tc>
        <w:tc>
          <w:tcPr>
            <w:tcW w:type="dxa" w:w="1516"/>
          </w:tcPr>
          <w:p>
            <w:r>
              <w:t>Publish life‑event payload to downstream systems (ADP US, Ceridian Canada, Benefitfocus, Epic Scheduling, IT Provisioning)</w:t>
            </w:r>
          </w:p>
        </w:tc>
        <w:tc>
          <w:tcPr>
            <w:tcW w:type="dxa" w:w="1516"/>
          </w:tcPr>
          <w:p>
            <w:r>
              <w:t>OIC → External Systems</w:t>
            </w:r>
          </w:p>
        </w:tc>
        <w:tc>
          <w:tcPr>
            <w:tcW w:type="dxa" w:w="1516"/>
          </w:tcPr>
          <w:p>
            <w:r>
              <w:t>Payroll, benefits, clinical scheduling, and IT accounts are provisioned/updated in near‑real time</w:t>
            </w:r>
          </w:p>
        </w:tc>
        <w:tc>
          <w:tcPr>
            <w:tcW w:type="dxa" w:w="1516"/>
          </w:tcPr>
          <w:p>
            <w:r>
              <w:t>Configuration: Setup and Maintenance &gt; Integration &gt; Manage OIC Integrations – create ‘Life Event to Payroll’, ‘Life Event to Benefits’, ‘Life Event to Epic’, ‘Life Event to IT Provisioning’ integrations; use ‘Life Event Trigger’ (Setup and Maintenance &gt; Process Automation &gt; Manage Event Triggers) as source</w:t>
            </w:r>
          </w:p>
        </w:tc>
      </w:tr>
      <w:tr>
        <w:tc>
          <w:tcPr>
            <w:tcW w:type="dxa" w:w="1516"/>
          </w:tcPr>
          <w:p>
            <w:r>
              <w:t>7</w:t>
            </w:r>
          </w:p>
        </w:tc>
        <w:tc>
          <w:tcPr>
            <w:tcW w:type="dxa" w:w="1516"/>
          </w:tcPr>
          <w:p>
            <w:r>
              <w:t>HR Representative</w:t>
            </w:r>
          </w:p>
        </w:tc>
        <w:tc>
          <w:tcPr>
            <w:tcW w:type="dxa" w:w="1516"/>
          </w:tcPr>
          <w:p>
            <w:r>
              <w:t>Send bilingual (EN/ES) or French‑Canadian notification to employee with next steps and document links</w:t>
            </w:r>
          </w:p>
        </w:tc>
        <w:tc>
          <w:tcPr>
            <w:tcW w:type="dxa" w:w="1516"/>
          </w:tcPr>
          <w:p>
            <w:r>
              <w:t>Oracle HCM (ESS) + Email</w:t>
            </w:r>
          </w:p>
        </w:tc>
        <w:tc>
          <w:tcPr>
            <w:tcW w:type="dxa" w:w="1516"/>
          </w:tcPr>
          <w:p>
            <w:r>
              <w:t>Employee receives localized communication and can upload required documents via ESS</w:t>
            </w:r>
          </w:p>
        </w:tc>
        <w:tc>
          <w:tcPr>
            <w:tcW w:type="dxa" w:w="1516"/>
          </w:tcPr>
          <w:p>
            <w:r>
              <w:t>Configuration: Setup and Maintenance &gt; HCM Experience Design Studio &gt; Manage UI Language Packs – enable English, Spanish, French‑Canadian; configure ‘Life Event Notification Templates’ with language placeholders</w:t>
            </w:r>
          </w:p>
        </w:tc>
      </w:tr>
      <w:tr>
        <w:tc>
          <w:tcPr>
            <w:tcW w:type="dxa" w:w="1516"/>
          </w:tcPr>
          <w:p>
            <w:r>
              <w:t>8</w:t>
            </w:r>
          </w:p>
        </w:tc>
        <w:tc>
          <w:tcPr>
            <w:tcW w:type="dxa" w:w="1516"/>
          </w:tcPr>
          <w:p>
            <w:r>
              <w:t>Benefits Administrator</w:t>
            </w:r>
          </w:p>
        </w:tc>
        <w:tc>
          <w:tcPr>
            <w:tcW w:type="dxa" w:w="1516"/>
          </w:tcPr>
          <w:p>
            <w:r>
              <w:t>Enroll or terminate employee in applicable benefit plans based on event type and eligibility</w:t>
            </w:r>
          </w:p>
        </w:tc>
        <w:tc>
          <w:tcPr>
            <w:tcW w:type="dxa" w:w="1516"/>
          </w:tcPr>
          <w:p>
            <w:r>
              <w:t>Oracle HCM (Benefits)</w:t>
            </w:r>
          </w:p>
        </w:tc>
        <w:tc>
          <w:tcPr>
            <w:tcW w:type="dxa" w:w="1516"/>
          </w:tcPr>
          <w:p>
            <w:r>
              <w:t>Benefit coverage is active, modified, or terminated as per policy dates</w:t>
            </w:r>
          </w:p>
        </w:tc>
        <w:tc>
          <w:tcPr>
            <w:tcW w:type="dxa" w:w="1516"/>
          </w:tcPr>
          <w:p>
            <w:r>
              <w:t>Configuration: Setup and Maintenance &gt; Benefits &gt; Manage Benefit Eligibility Rules – tie eligibility to credential flag and union status</w:t>
            </w:r>
          </w:p>
        </w:tc>
      </w:tr>
      <w:tr>
        <w:tc>
          <w:tcPr>
            <w:tcW w:type="dxa" w:w="1516"/>
          </w:tcPr>
          <w:p>
            <w:r>
              <w:t>9</w:t>
            </w:r>
          </w:p>
        </w:tc>
        <w:tc>
          <w:tcPr>
            <w:tcW w:type="dxa" w:w="1516"/>
          </w:tcPr>
          <w:p>
            <w:r>
              <w:t>Compensation Analyst</w:t>
            </w:r>
          </w:p>
        </w:tc>
        <w:tc>
          <w:tcPr>
            <w:tcW w:type="dxa" w:w="1516"/>
          </w:tcPr>
          <w:p>
            <w:r>
              <w:t>Apply compensation changes (salary increase, bonus eligibility) linked to the life event</w:t>
            </w:r>
          </w:p>
        </w:tc>
        <w:tc>
          <w:tcPr>
            <w:tcW w:type="dxa" w:w="1516"/>
          </w:tcPr>
          <w:p>
            <w:r>
              <w:t>Oracle HCM (Compensation)</w:t>
            </w:r>
          </w:p>
        </w:tc>
        <w:tc>
          <w:tcPr>
            <w:tcW w:type="dxa" w:w="1516"/>
          </w:tcPr>
          <w:p>
            <w:r>
              <w:t>Compensation elements are updated and effective‑dated; payroll integration receives new amounts</w:t>
            </w:r>
          </w:p>
        </w:tc>
        <w:tc>
          <w:tcPr>
            <w:tcW w:type="dxa" w:w="1516"/>
          </w:tcPr>
          <w:p>
            <w:r>
              <w:t>Configuration: Setup and Maintenance &gt; Compensation &gt; Manage Compensation Elements – map life‑event types to compensation actions via ‘Compensation Change Rules’</w:t>
            </w:r>
          </w:p>
        </w:tc>
      </w:tr>
      <w:tr>
        <w:tc>
          <w:tcPr>
            <w:tcW w:type="dxa" w:w="1516"/>
          </w:tcPr>
          <w:p>
            <w:r>
              <w:t>10</w:t>
            </w:r>
          </w:p>
        </w:tc>
        <w:tc>
          <w:tcPr>
            <w:tcW w:type="dxa" w:w="1516"/>
          </w:tcPr>
          <w:p>
            <w:r>
              <w:t>Audit &amp; Compliance Officer</w:t>
            </w:r>
          </w:p>
        </w:tc>
        <w:tc>
          <w:tcPr>
            <w:tcW w:type="dxa" w:w="1516"/>
          </w:tcPr>
          <w:p>
            <w:r>
              <w:t>Review audit trail and generate compliance report for regulatory bodies (e.g., HIPAA, labor unions)</w:t>
            </w:r>
          </w:p>
        </w:tc>
        <w:tc>
          <w:tcPr>
            <w:tcW w:type="dxa" w:w="1516"/>
          </w:tcPr>
          <w:p>
            <w:r>
              <w:t>Oracle HCM (Audit) + Reporting (OTBI)</w:t>
            </w:r>
          </w:p>
        </w:tc>
        <w:tc>
          <w:tcPr>
            <w:tcW w:type="dxa" w:w="1516"/>
          </w:tcPr>
          <w:p>
            <w:r>
              <w:t>Report is archived; any exceptions are escalated</w:t>
            </w:r>
          </w:p>
        </w:tc>
        <w:tc>
          <w:tcPr>
            <w:tcW w:type="dxa" w:w="1516"/>
          </w:tcPr>
          <w:p>
            <w:r>
              <w:t>Configuration: Setup and Maintenance &gt; Process Automation &gt; Manage Audit Policies – enable ‘Life Event Audit Capture’; create OTBI report ‘Life Event Compliance Dashboard’</w:t>
            </w:r>
          </w:p>
        </w:tc>
      </w:tr>
    </w:tbl>
    <w:p>
      <w:r>
        <w:rPr>
          <w:b/>
        </w:rPr>
        <w:t xml:space="preserve">Approval Required: </w:t>
      </w:r>
      <w:r>
        <w:t>HR Manager, Compensation Manager, Benefits Manager, Legal Entity CFO, Union Representative (where applicable)</w:t>
      </w:r>
    </w:p>
    <w:p>
      <w:r>
        <w:t>Notes: All life‑event processing is driven by the ‘Life Event Trigger’ defined in Setup and Maintenance &gt; Process Automation &gt; Manage Event Triggers.  The global employee ID (GPN) created in step 1 serves as the golden record across all legal entities.  Language packs and UI customizations must be tested in both English/Spanish and French‑Canadian locales before go‑live.  Integration error handling is configured in OIC with retry logic and alert notifications to the Integration Support team.</w:t>
      </w:r>
    </w:p>
    <w:p>
      <w:r>
        <w:br w:type="page"/>
      </w:r>
    </w:p>
    <w:p>
      <w:pPr>
        <w:pStyle w:val="Heading1"/>
      </w:pPr>
      <w:r>
        <w:t>6. Gap Analysis</w:t>
      </w:r>
    </w:p>
    <w:p>
      <w:r>
        <w:t>Overall, Meridian Health Systems exhibits a favorable gap posture with only six functional gaps, three of which require custom OIC integrations and two demanding significant development effort (Payroll adapters and Mobile offline capability). All gaps have clear Oracle‑recommended solutions and can be addressed within the project timeline.</w:t>
      </w:r>
    </w:p>
    <w:p>
      <w:pPr>
        <w:pStyle w:val="Heading2"/>
      </w:pPr>
      <w:r>
        <w:t>G001 – Core HR – Employee Data Management</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Global employee ID as golden key across all integrations</w:t>
            </w:r>
          </w:p>
        </w:tc>
      </w:tr>
      <w:tr>
        <w:tc>
          <w:tcPr>
            <w:tcW w:type="dxa" w:w="4549"/>
          </w:tcPr>
          <w:p>
            <w:r>
              <w:rPr>
                <w:b/>
              </w:rPr>
              <w:t>Oracle Capability</w:t>
            </w:r>
          </w:p>
        </w:tc>
        <w:tc>
          <w:tcPr>
            <w:tcW w:type="dxa" w:w="4549"/>
          </w:tcPr>
          <w:p>
            <w:r>
              <w:t>Fusion Cloud delivers a single Global Employee ID (GEID) that can be defined as the primary key for all inbound/outbound integrations.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GEID as the master identifier using the OOTB functionality. Enable the "Use Global Employee ID as Primary Key" option in Setup and Maintenance.</w:t>
            </w:r>
          </w:p>
        </w:tc>
      </w:tr>
      <w:tr>
        <w:tc>
          <w:tcPr>
            <w:tcW w:type="dxa" w:w="4549"/>
          </w:tcPr>
          <w:p>
            <w:r>
              <w:rPr>
                <w:b/>
              </w:rPr>
              <w:t>Implementation Effort</w:t>
            </w:r>
          </w:p>
        </w:tc>
        <w:tc>
          <w:tcPr>
            <w:tcW w:type="dxa" w:w="4549"/>
          </w:tcPr>
          <w:p>
            <w:r>
              <w:t>Low</w:t>
            </w:r>
          </w:p>
        </w:tc>
      </w:tr>
      <w:tr>
        <w:tc>
          <w:tcPr>
            <w:tcW w:type="dxa" w:w="4549"/>
          </w:tcPr>
          <w:p>
            <w:r>
              <w:rPr>
                <w:b/>
              </w:rPr>
              <w:t>Workaround</w:t>
            </w:r>
          </w:p>
        </w:tc>
        <w:tc>
          <w:tcPr>
            <w:tcW w:type="dxa" w:w="4549"/>
          </w:tcPr>
          <w:p>
            <w:r>
              <w:t>N/A</w:t>
            </w:r>
          </w:p>
        </w:tc>
      </w:tr>
    </w:tbl>
    <w:p>
      <w:pPr>
        <w:pStyle w:val="Heading2"/>
      </w:pPr>
      <w:r>
        <w:t>G002 – Talent Management – Credentialing</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Real‑time credentialing status from Symplr to block scheduling and grant system access</w:t>
            </w:r>
          </w:p>
        </w:tc>
      </w:tr>
      <w:tr>
        <w:tc>
          <w:tcPr>
            <w:tcW w:type="dxa" w:w="4549"/>
          </w:tcPr>
          <w:p>
            <w:r>
              <w:rPr>
                <w:b/>
              </w:rPr>
              <w:t>Oracle Capability</w:t>
            </w:r>
          </w:p>
        </w:tc>
        <w:tc>
          <w:tcPr>
            <w:tcW w:type="dxa" w:w="4549"/>
          </w:tcPr>
          <w:p>
            <w:r>
              <w:t>Fusion Credentialing provides a credentialing data model but does not include a pre‑built Symplr connector.</w:t>
            </w:r>
          </w:p>
        </w:tc>
      </w:tr>
      <w:tr>
        <w:tc>
          <w:tcPr>
            <w:tcW w:type="dxa" w:w="4549"/>
          </w:tcPr>
          <w:p>
            <w:r>
              <w:rPr>
                <w:b/>
              </w:rPr>
              <w:t>Gap</w:t>
            </w:r>
          </w:p>
        </w:tc>
        <w:tc>
          <w:tcPr>
            <w:tcW w:type="dxa" w:w="4549"/>
          </w:tcPr>
          <w:p>
            <w:r>
              <w:t>Connector to Symplr is missing</w:t>
            </w:r>
          </w:p>
        </w:tc>
      </w:tr>
      <w:tr>
        <w:tc>
          <w:tcPr>
            <w:tcW w:type="dxa" w:w="4549"/>
          </w:tcPr>
          <w:p>
            <w:r>
              <w:rPr>
                <w:b/>
              </w:rPr>
              <w:t>Recommended Solution</w:t>
            </w:r>
          </w:p>
        </w:tc>
        <w:tc>
          <w:tcPr>
            <w:tcW w:type="dxa" w:w="4549"/>
          </w:tcPr>
          <w:p>
            <w:r>
              <w:t>Develop a custom OIC integration that calls Symplr APIs (credential status) and updates the Credentialing entity via the Fusion HCM REST APIs. Leverage the "Credentialing – Update Credential Status" service.</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Use a scheduled batch load via HDL (HCM Data Loader) if real‑time is not feasible initially.</w:t>
            </w:r>
          </w:p>
        </w:tc>
      </w:tr>
    </w:tbl>
    <w:p>
      <w:pPr>
        <w:pStyle w:val="Heading2"/>
      </w:pPr>
      <w:r>
        <w:t>G003 – Payroll Interface</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Bi‑directional integration with ADP Workforce Now (US) and Ceridian Dayforce (Canada)</w:t>
            </w:r>
          </w:p>
        </w:tc>
      </w:tr>
      <w:tr>
        <w:tc>
          <w:tcPr>
            <w:tcW w:type="dxa" w:w="4549"/>
          </w:tcPr>
          <w:p>
            <w:r>
              <w:rPr>
                <w:b/>
              </w:rPr>
              <w:t>Oracle Capability</w:t>
            </w:r>
          </w:p>
        </w:tc>
        <w:tc>
          <w:tcPr>
            <w:tcW w:type="dxa" w:w="4549"/>
          </w:tcPr>
          <w:p>
            <w:r>
              <w:t>Fusion includes native payroll adapters for Oracle Payroll only; no out‑of‑the‑box adapters for ADP or Ceridian.</w:t>
            </w:r>
          </w:p>
        </w:tc>
      </w:tr>
      <w:tr>
        <w:tc>
          <w:tcPr>
            <w:tcW w:type="dxa" w:w="4549"/>
          </w:tcPr>
          <w:p>
            <w:r>
              <w:rPr>
                <w:b/>
              </w:rPr>
              <w:t>Gap</w:t>
            </w:r>
          </w:p>
        </w:tc>
        <w:tc>
          <w:tcPr>
            <w:tcW w:type="dxa" w:w="4549"/>
          </w:tcPr>
          <w:p>
            <w:r>
              <w:t>No native adapters for ADP/Ceridian</w:t>
            </w:r>
          </w:p>
        </w:tc>
      </w:tr>
      <w:tr>
        <w:tc>
          <w:tcPr>
            <w:tcW w:type="dxa" w:w="4549"/>
          </w:tcPr>
          <w:p>
            <w:r>
              <w:rPr>
                <w:b/>
              </w:rPr>
              <w:t>Recommended Solution</w:t>
            </w:r>
          </w:p>
        </w:tc>
        <w:tc>
          <w:tcPr>
            <w:tcW w:type="dxa" w:w="4549"/>
          </w:tcPr>
          <w:p>
            <w:r>
              <w:t>Implement OIC integration flows using ADP and Ceridian web services. Map Fusion payroll events (Hire, Transfer, Termination, Pay‑run) to the respective provider APIs. Use the "Payroll Interface – Create Payroll Event" task for outbound and the "Payroll Interface – Process Payroll Results" task for inbound.</w:t>
            </w:r>
          </w:p>
        </w:tc>
      </w:tr>
      <w:tr>
        <w:tc>
          <w:tcPr>
            <w:tcW w:type="dxa" w:w="4549"/>
          </w:tcPr>
          <w:p>
            <w:r>
              <w:rPr>
                <w:b/>
              </w:rPr>
              <w:t>Implementation Effort</w:t>
            </w:r>
          </w:p>
        </w:tc>
        <w:tc>
          <w:tcPr>
            <w:tcW w:type="dxa" w:w="4549"/>
          </w:tcPr>
          <w:p>
            <w:r>
              <w:t>High</w:t>
            </w:r>
          </w:p>
        </w:tc>
      </w:tr>
      <w:tr>
        <w:tc>
          <w:tcPr>
            <w:tcW w:type="dxa" w:w="4549"/>
          </w:tcPr>
          <w:p>
            <w:r>
              <w:rPr>
                <w:b/>
              </w:rPr>
              <w:t>Workaround</w:t>
            </w:r>
          </w:p>
        </w:tc>
        <w:tc>
          <w:tcPr>
            <w:tcW w:type="dxa" w:w="4549"/>
          </w:tcPr>
          <w:p>
            <w:r>
              <w:t>Leverage third‑party middleware (e.g., Dell Boomi) as an interim bridge until OIC flows are production‑ready.</w:t>
            </w:r>
          </w:p>
        </w:tc>
      </w:tr>
    </w:tbl>
    <w:p>
      <w:pPr>
        <w:pStyle w:val="Heading2"/>
      </w:pPr>
      <w:r>
        <w:t>G004 – Benefits</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Automated enrollment, life‑event processing and deduction updates with Benefitfocus</w:t>
            </w:r>
          </w:p>
        </w:tc>
      </w:tr>
      <w:tr>
        <w:tc>
          <w:tcPr>
            <w:tcW w:type="dxa" w:w="4549"/>
          </w:tcPr>
          <w:p>
            <w:r>
              <w:rPr>
                <w:b/>
              </w:rPr>
              <w:t>Oracle Capability</w:t>
            </w:r>
          </w:p>
        </w:tc>
        <w:tc>
          <w:tcPr>
            <w:tcW w:type="dxa" w:w="4549"/>
          </w:tcPr>
          <w:p>
            <w:r>
              <w:t>Fusion Benefits supports enrollment and life‑event processing OOTB but does not ship a Benefitfocus connector.</w:t>
            </w:r>
          </w:p>
        </w:tc>
      </w:tr>
      <w:tr>
        <w:tc>
          <w:tcPr>
            <w:tcW w:type="dxa" w:w="4549"/>
          </w:tcPr>
          <w:p>
            <w:r>
              <w:rPr>
                <w:b/>
              </w:rPr>
              <w:t>Gap</w:t>
            </w:r>
          </w:p>
        </w:tc>
        <w:tc>
          <w:tcPr>
            <w:tcW w:type="dxa" w:w="4549"/>
          </w:tcPr>
          <w:p>
            <w:r>
              <w:t>Missing Benefitfocus integration</w:t>
            </w:r>
          </w:p>
        </w:tc>
      </w:tr>
      <w:tr>
        <w:tc>
          <w:tcPr>
            <w:tcW w:type="dxa" w:w="4549"/>
          </w:tcPr>
          <w:p>
            <w:r>
              <w:rPr>
                <w:b/>
              </w:rPr>
              <w:t>Recommended Solution</w:t>
            </w:r>
          </w:p>
        </w:tc>
        <w:tc>
          <w:tcPr>
            <w:tcW w:type="dxa" w:w="4549"/>
          </w:tcPr>
          <w:p>
            <w:r>
              <w:t>Create an OIC integration that consumes Fusion Benefits events (Enrollment, Life Event) and invokes Benefitfocus APIs for enrollment and deduction updates. Use the "Benefits – Process Enrollment" and "Benefits – Process Life Event" tasks as trigger points.</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Batch upload enrollment files to Benefitfocus via SFTP using HDL as a temporary solution.</w:t>
            </w:r>
          </w:p>
        </w:tc>
      </w:tr>
    </w:tbl>
    <w:p>
      <w:pPr>
        <w:pStyle w:val="Heading2"/>
      </w:pPr>
      <w:r>
        <w:t>G005 – Time &amp; Labor</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Integration with UKG Dimensions for time capture and on‑call eligibility flag</w:t>
            </w:r>
          </w:p>
        </w:tc>
      </w:tr>
      <w:tr>
        <w:tc>
          <w:tcPr>
            <w:tcW w:type="dxa" w:w="4549"/>
          </w:tcPr>
          <w:p>
            <w:r>
              <w:rPr>
                <w:b/>
              </w:rPr>
              <w:t>Oracle Capability</w:t>
            </w:r>
          </w:p>
        </w:tc>
        <w:tc>
          <w:tcPr>
            <w:tcW w:type="dxa" w:w="4549"/>
          </w:tcPr>
          <w:p>
            <w:r>
              <w:t>Fusion Time &amp; Labor provides a generic Time Capture Interface but no pre‑built UKG Dimensions connector.</w:t>
            </w:r>
          </w:p>
        </w:tc>
      </w:tr>
      <w:tr>
        <w:tc>
          <w:tcPr>
            <w:tcW w:type="dxa" w:w="4549"/>
          </w:tcPr>
          <w:p>
            <w:r>
              <w:rPr>
                <w:b/>
              </w:rPr>
              <w:t>Gap</w:t>
            </w:r>
          </w:p>
        </w:tc>
        <w:tc>
          <w:tcPr>
            <w:tcW w:type="dxa" w:w="4549"/>
          </w:tcPr>
          <w:p>
            <w:r>
              <w:t>Connector required</w:t>
            </w:r>
          </w:p>
        </w:tc>
      </w:tr>
      <w:tr>
        <w:tc>
          <w:tcPr>
            <w:tcW w:type="dxa" w:w="4549"/>
          </w:tcPr>
          <w:p>
            <w:r>
              <w:rPr>
                <w:b/>
              </w:rPr>
              <w:t>Recommended Solution</w:t>
            </w:r>
          </w:p>
        </w:tc>
        <w:tc>
          <w:tcPr>
            <w:tcW w:type="dxa" w:w="4549"/>
          </w:tcPr>
          <w:p>
            <w:r>
              <w:t>Develop an OIC integration that pulls time‑cards and eligibility flags from UKG Dimensions and posts them to Fusion via the "Time and Labor – Import Time Cards" REST service. Conversely, push schedule data to UKG as needed.</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Utilize the Time Capture File Import (CSV) process as an interim manual load.</w:t>
            </w:r>
          </w:p>
        </w:tc>
      </w:tr>
    </w:tbl>
    <w:p>
      <w:pPr>
        <w:pStyle w:val="Heading2"/>
      </w:pPr>
      <w:r>
        <w:t>G006 – Mobile Experience</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Offline access to pay‑slips and org‑chart for clinical staff</w:t>
            </w:r>
          </w:p>
        </w:tc>
      </w:tr>
      <w:tr>
        <w:tc>
          <w:tcPr>
            <w:tcW w:type="dxa" w:w="4549"/>
          </w:tcPr>
          <w:p>
            <w:r>
              <w:rPr>
                <w:b/>
              </w:rPr>
              <w:t>Oracle Capability</w:t>
            </w:r>
          </w:p>
        </w:tc>
        <w:tc>
          <w:tcPr>
            <w:tcW w:type="dxa" w:w="4549"/>
          </w:tcPr>
          <w:p>
            <w:r>
              <w:t>Fusion Mobile Experience (HCM Experience Design Studio) supports online access only; offline capability is not available OOTB.</w:t>
            </w:r>
          </w:p>
        </w:tc>
      </w:tr>
      <w:tr>
        <w:tc>
          <w:tcPr>
            <w:tcW w:type="dxa" w:w="4549"/>
          </w:tcPr>
          <w:p>
            <w:r>
              <w:rPr>
                <w:b/>
              </w:rPr>
              <w:t>Gap</w:t>
            </w:r>
          </w:p>
        </w:tc>
        <w:tc>
          <w:tcPr>
            <w:tcW w:type="dxa" w:w="4549"/>
          </w:tcPr>
          <w:p>
            <w:r>
              <w:t>Offline capability missing</w:t>
            </w:r>
          </w:p>
        </w:tc>
      </w:tr>
      <w:tr>
        <w:tc>
          <w:tcPr>
            <w:tcW w:type="dxa" w:w="4549"/>
          </w:tcPr>
          <w:p>
            <w:r>
              <w:rPr>
                <w:b/>
              </w:rPr>
              <w:t>Recommended Solution</w:t>
            </w:r>
          </w:p>
        </w:tc>
        <w:tc>
          <w:tcPr>
            <w:tcW w:type="dxa" w:w="4549"/>
          </w:tcPr>
          <w:p>
            <w:r>
              <w:t>Build a custom mobile app using HCM Experience Design Studio with Progressive Web App (PWA) features to cache pay‑slip PDFs and org‑chart data for offline use. Leverage the "Mobile – Configure Offline Caching" task.</w:t>
            </w:r>
          </w:p>
        </w:tc>
      </w:tr>
      <w:tr>
        <w:tc>
          <w:tcPr>
            <w:tcW w:type="dxa" w:w="4549"/>
          </w:tcPr>
          <w:p>
            <w:r>
              <w:rPr>
                <w:b/>
              </w:rPr>
              <w:t>Implementation Effort</w:t>
            </w:r>
          </w:p>
        </w:tc>
        <w:tc>
          <w:tcPr>
            <w:tcW w:type="dxa" w:w="4549"/>
          </w:tcPr>
          <w:p>
            <w:r>
              <w:t>High</w:t>
            </w:r>
          </w:p>
        </w:tc>
      </w:tr>
      <w:tr>
        <w:tc>
          <w:tcPr>
            <w:tcW w:type="dxa" w:w="4549"/>
          </w:tcPr>
          <w:p>
            <w:r>
              <w:rPr>
                <w:b/>
              </w:rPr>
              <w:t>Workaround</w:t>
            </w:r>
          </w:p>
        </w:tc>
        <w:tc>
          <w:tcPr>
            <w:tcW w:type="dxa" w:w="4549"/>
          </w:tcPr>
          <w:p>
            <w:r>
              <w:t>Provide a secure email distribution of encrypted PDF pay‑slips for staff without mobile connectivity.</w:t>
            </w:r>
          </w:p>
        </w:tc>
      </w:tr>
    </w:tbl>
    <w:p>
      <w:pPr>
        <w:pStyle w:val="Heading2"/>
      </w:pPr>
      <w:r>
        <w:t>G007 – Compliance &amp; Reporting</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Automated EEO‑1, VETS‑4212, ACA, OSHA and Joint Commission reporting with US‑only data residency</w:t>
            </w:r>
          </w:p>
        </w:tc>
      </w:tr>
      <w:tr>
        <w:tc>
          <w:tcPr>
            <w:tcW w:type="dxa" w:w="4549"/>
          </w:tcPr>
          <w:p>
            <w:r>
              <w:rPr>
                <w:b/>
              </w:rPr>
              <w:t>Oracle Capability</w:t>
            </w:r>
          </w:p>
        </w:tc>
        <w:tc>
          <w:tcPr>
            <w:tcW w:type="dxa" w:w="4549"/>
          </w:tcPr>
          <w:p>
            <w:r>
              <w:t>Fusion Reporting provides pre‑built EEO‑1, VETS‑4212, ACA, OSHA and Joint Commission reports and allows data‑center selection for residency.</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Activate the required standard reports and configure the US data center as the primary residency location. Use the "Reporting – Manage Standard Reports" task.</w:t>
            </w:r>
          </w:p>
        </w:tc>
      </w:tr>
      <w:tr>
        <w:tc>
          <w:tcPr>
            <w:tcW w:type="dxa" w:w="4549"/>
          </w:tcPr>
          <w:p>
            <w:r>
              <w:rPr>
                <w:b/>
              </w:rPr>
              <w:t>Implementation Effort</w:t>
            </w:r>
          </w:p>
        </w:tc>
        <w:tc>
          <w:tcPr>
            <w:tcW w:type="dxa" w:w="4549"/>
          </w:tcPr>
          <w:p>
            <w:r>
              <w:t>Low</w:t>
            </w:r>
          </w:p>
        </w:tc>
      </w:tr>
      <w:tr>
        <w:tc>
          <w:tcPr>
            <w:tcW w:type="dxa" w:w="4549"/>
          </w:tcPr>
          <w:p>
            <w:r>
              <w:rPr>
                <w:b/>
              </w:rPr>
              <w:t>Workaround</w:t>
            </w:r>
          </w:p>
        </w:tc>
        <w:tc>
          <w:tcPr>
            <w:tcW w:type="dxa" w:w="4549"/>
          </w:tcPr>
          <w:p>
            <w:r>
              <w:t>N/A</w:t>
            </w:r>
          </w:p>
        </w:tc>
      </w:tr>
    </w:tbl>
    <w:p>
      <w:pPr>
        <w:pStyle w:val="Heading2"/>
      </w:pPr>
      <w:r>
        <w:t>G008 – Organizational Management</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High‑frequency (≈40/month) org‑structure changes with delegated approval</w:t>
            </w:r>
          </w:p>
        </w:tc>
      </w:tr>
      <w:tr>
        <w:tc>
          <w:tcPr>
            <w:tcW w:type="dxa" w:w="4549"/>
          </w:tcPr>
          <w:p>
            <w:r>
              <w:rPr>
                <w:b/>
              </w:rPr>
              <w:t>Oracle Capability</w:t>
            </w:r>
          </w:p>
        </w:tc>
        <w:tc>
          <w:tcPr>
            <w:tcW w:type="dxa" w:w="4549"/>
          </w:tcPr>
          <w:p>
            <w:r>
              <w:t>Fusion Organizational Management supports delegated approval workflows for org‑structure changes OOTB.</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the multi‑level approval workflow using the "Manage Organization Change Approval" task. Enable self‑service org‑change requests for delegated managers.</w:t>
            </w:r>
          </w:p>
        </w:tc>
      </w:tr>
      <w:tr>
        <w:tc>
          <w:tcPr>
            <w:tcW w:type="dxa" w:w="4549"/>
          </w:tcPr>
          <w:p>
            <w:r>
              <w:rPr>
                <w:b/>
              </w:rPr>
              <w:t>Implementation Effort</w:t>
            </w:r>
          </w:p>
        </w:tc>
        <w:tc>
          <w:tcPr>
            <w:tcW w:type="dxa" w:w="4549"/>
          </w:tcPr>
          <w:p>
            <w:r>
              <w:t>Low</w:t>
            </w:r>
          </w:p>
        </w:tc>
      </w:tr>
      <w:tr>
        <w:tc>
          <w:tcPr>
            <w:tcW w:type="dxa" w:w="4549"/>
          </w:tcPr>
          <w:p>
            <w:r>
              <w:rPr>
                <w:b/>
              </w:rPr>
              <w:t>Workaround</w:t>
            </w:r>
          </w:p>
        </w:tc>
        <w:tc>
          <w:tcPr>
            <w:tcW w:type="dxa" w:w="4549"/>
          </w:tcPr>
          <w:p>
            <w:r>
              <w:t>N/A</w:t>
            </w:r>
          </w:p>
        </w:tc>
      </w:tr>
    </w:tbl>
    <w:p>
      <w:r>
        <w:br w:type="page"/>
      </w:r>
    </w:p>
    <w:p>
      <w:pPr>
        <w:pStyle w:val="Heading1"/>
      </w:pPr>
      <w:r>
        <w:t>9. Assumptions &amp; Dependencies</w:t>
      </w:r>
    </w:p>
    <w:p>
      <w:pPr>
        <w:pStyle w:val="Heading2"/>
      </w:pPr>
      <w:r>
        <w:t>9.1 Assumptions</w:t>
      </w:r>
    </w:p>
    <w:p>
      <w:pPr>
        <w:pStyle w:val="ListBullet"/>
      </w:pPr>
      <w:r>
        <w:rPr>
          <w:b/>
        </w:rPr>
        <w:t xml:space="preserve">[A001] Data|Technical: </w:t>
      </w:r>
      <w:r>
        <w:t>All legacy employee records will be extracted, transformed, and loaded using HDL – HCM Data Loader (Setup and Maintenance &gt; Data Exchange &gt; Manage Data Loaders) and will contain a unique Global Employee ID that will serve as the golden record.</w:t>
      </w:r>
    </w:p>
    <w:p>
      <w:pPr>
        <w:pStyle w:val="ListBullet"/>
      </w:pPr>
      <w:r>
        <w:rPr>
          <w:b/>
        </w:rPr>
        <w:t xml:space="preserve">[A002] Integration|Technical: </w:t>
      </w:r>
      <w:r>
        <w:t>Real‑time credentialing status will be delivered from Symplr via an OIC integration using the pre‑configured “Symplr Credentialing – Real‑Time Feed” integration interface (Setup and Maintenance &gt; Integration &gt; Manage Integration Interfaces).</w:t>
      </w:r>
    </w:p>
    <w:p>
      <w:pPr>
        <w:pStyle w:val="ListBullet"/>
      </w:pPr>
      <w:r>
        <w:rPr>
          <w:b/>
        </w:rPr>
        <w:t xml:space="preserve">[A003] Integration|Technical: </w:t>
      </w:r>
      <w:r>
        <w:t>Provider data from Epic will be consumed through the “Epic Provider Sync” OIC integration (Setup and Maintenance &gt; Integration &gt; Manage Integration Interfaces) and will be available in Fusion before each scheduling cycle.</w:t>
      </w:r>
    </w:p>
    <w:p>
      <w:pPr>
        <w:pStyle w:val="ListBullet"/>
      </w:pPr>
      <w:r>
        <w:rPr>
          <w:b/>
        </w:rPr>
        <w:t xml:space="preserve">[A004] Integration|Organisational: </w:t>
      </w:r>
      <w:r>
        <w:t>Payroll providers (ADP US, Ceridian Canada) will expose standard payroll file specifications and will accept inbound files via the “Payroll Interface – File Transfer” (Setup and Maintenance &gt; Payroll &gt; Manage Payroll Interfaces).</w:t>
      </w:r>
    </w:p>
    <w:p>
      <w:pPr>
        <w:pStyle w:val="ListBullet"/>
      </w:pPr>
      <w:r>
        <w:rPr>
          <w:b/>
        </w:rPr>
        <w:t xml:space="preserve">[A005] Integration|Organisational: </w:t>
      </w:r>
      <w:r>
        <w:t>Benefitfocus will provide a REST API endpoint compatible with the “Benefits Vendor Integration” (Setup and Maintenance &gt; Benefits &gt; Manage Benefits Interfaces) for enrollment and life‑event updates.</w:t>
      </w:r>
    </w:p>
    <w:p>
      <w:pPr>
        <w:pStyle w:val="ListBullet"/>
      </w:pPr>
      <w:r>
        <w:rPr>
          <w:b/>
        </w:rPr>
        <w:t xml:space="preserve">[A006] Technical|Process: </w:t>
      </w:r>
      <w:r>
        <w:t>All OIC integrations will be deployed in the Oracle Integration Cloud tenancy that resides within the United States data center to satisfy data residency requirements for US employee data (Setup and Maintenance &gt; Cloud &gt; Manage Cloud Services).</w:t>
      </w:r>
    </w:p>
    <w:p>
      <w:pPr>
        <w:pStyle w:val="ListBullet"/>
      </w:pPr>
      <w:r>
        <w:rPr>
          <w:b/>
        </w:rPr>
        <w:t xml:space="preserve">[A007] Process|Organisational: </w:t>
      </w:r>
      <w:r>
        <w:t>Bilingual (EN/ES) and French‑Canadian UI will be enabled through HCM Experience Design Studio language packs (Setup and Maintenance &gt; Globalization &gt; Manage Language Packs) and all help content will be translated prior to go‑live.</w:t>
      </w:r>
    </w:p>
    <w:p>
      <w:pPr>
        <w:pStyle w:val="ListBullet"/>
      </w:pPr>
      <w:r>
        <w:rPr>
          <w:b/>
        </w:rPr>
        <w:t xml:space="preserve">[A008] Process|Organisational: </w:t>
      </w:r>
      <w:r>
        <w:t>Configurable, multi‑level approval workflows for requisitions, compensation changes, and terminations will be built using the “Workflow Builder” (Setup and Maintenance &gt; Workflow &gt; Manage Workflow Definitions) and will be approved by the designated business owners before activation.</w:t>
      </w:r>
    </w:p>
    <w:p>
      <w:pPr>
        <w:pStyle w:val="ListBullet"/>
      </w:pPr>
      <w:r>
        <w:rPr>
          <w:b/>
        </w:rPr>
        <w:t xml:space="preserve">[A009] Data|Process: </w:t>
      </w:r>
      <w:r>
        <w:t>Historical data migration will include only the most recent 3 years of transaction data; older data will be archived in the legacy systems and accessed via read‑only reports.</w:t>
      </w:r>
    </w:p>
    <w:p>
      <w:pPr>
        <w:pStyle w:val="ListBullet"/>
      </w:pPr>
      <w:r>
        <w:rPr>
          <w:b/>
        </w:rPr>
        <w:t xml:space="preserve">[A010] Technical|Process: </w:t>
      </w:r>
      <w:r>
        <w:t>Performance testing of all integration flows will be executed in the pre‑production environment using the “Integration Performance Test Suite” (Setup and Maintenance &gt; Testing &gt; Manage Test Suites) and will meet the defined latency thresholds (&lt; 5 seconds for credentialing feed).</w:t>
      </w:r>
    </w:p>
    <w:p>
      <w:pPr>
        <w:pStyle w:val="ListBullet"/>
      </w:pPr>
      <w:r>
        <w:rPr>
          <w:b/>
        </w:rPr>
        <w:t xml:space="preserve">[A011] Organisational|Process: </w:t>
      </w:r>
      <w:r>
        <w:t>Key business stakeholders will provide final sign‑off on all security roles and data access matrices within the “Security Console” (Setup and Maintenance &gt; Security &gt; Manage Role Hierarchies) by the end of the design phase.</w:t>
      </w:r>
    </w:p>
    <w:p>
      <w:pPr>
        <w:pStyle w:val="ListBullet"/>
      </w:pPr>
      <w:r>
        <w:rPr>
          <w:b/>
        </w:rPr>
        <w:t xml:space="preserve">[A012] Technical|Organisational: </w:t>
      </w:r>
      <w:r>
        <w:t>The network infrastructure will support TLS 1.2 encryption for all inbound and outbound integration traffic, as configured in the “Network Security Settings” (Setup and Maintenance &gt; Security &gt; Manage Network Settings).</w:t>
      </w:r>
    </w:p>
    <w:p>
      <w:pPr>
        <w:pStyle w:val="ListBullet"/>
      </w:pPr>
      <w:r>
        <w:rPr>
          <w:b/>
        </w:rPr>
        <w:t xml:space="preserve">[A013] Process|Organisational: </w:t>
      </w:r>
      <w:r>
        <w:t>End‑user training materials, including mobile self‑service guides, will be completed and delivered to all clinical staff at least two weeks before go‑live, with a sign‑off recorded in the “Training Management” module (Setup and Maintenance &gt; Learning Management &gt; Manage Training Plans).</w:t>
      </w:r>
    </w:p>
    <w:p>
      <w:pPr>
        <w:pStyle w:val="Heading2"/>
      </w:pPr>
      <w:r>
        <w:t>9.2 Dependencies</w:t>
      </w:r>
    </w:p>
    <w:p>
      <w:pPr>
        <w:pStyle w:val="ListBullet"/>
      </w:pPr>
      <w:r>
        <w:t>Symplr Credentialing system – real‑time API availability and SLA commitments.</w:t>
      </w:r>
    </w:p>
    <w:p>
      <w:pPr>
        <w:pStyle w:val="ListBullet"/>
      </w:pPr>
      <w:r>
        <w:t>Epic Systems – provider data export interface and schedule.</w:t>
      </w:r>
    </w:p>
    <w:p>
      <w:pPr>
        <w:pStyle w:val="ListBullet"/>
      </w:pPr>
      <w:r>
        <w:t>ADP (US) payroll processing platform – file format specifications and secure FTP endpoint.</w:t>
      </w:r>
    </w:p>
    <w:p>
      <w:pPr>
        <w:pStyle w:val="ListBullet"/>
      </w:pPr>
      <w:r>
        <w:t>Ceridian (Canada) payroll processing platform – API access and authentication tokens.</w:t>
      </w:r>
    </w:p>
    <w:p>
      <w:pPr>
        <w:pStyle w:val="ListBullet"/>
      </w:pPr>
      <w:r>
        <w:t>Benefitfocus – benefits enrollment REST API and OAuth credentials.</w:t>
      </w:r>
    </w:p>
    <w:p>
      <w:pPr>
        <w:pStyle w:val="ListBullet"/>
      </w:pPr>
      <w:r>
        <w:t>Oracle Integration Cloud (OIC) tenancy – provisioning, licensing, and network connectivity.</w:t>
      </w:r>
    </w:p>
    <w:p>
      <w:pPr>
        <w:pStyle w:val="ListBullet"/>
      </w:pPr>
      <w:r>
        <w:t>HCM Experience Design Studio language packs for Spanish (ES) and French‑Canadian (FR-CA).</w:t>
      </w:r>
    </w:p>
    <w:p>
      <w:pPr>
        <w:pStyle w:val="ListBullet"/>
      </w:pPr>
      <w:r>
        <w:t>Corporate network firewall rules to allow outbound TLS 1.2 traffic to external vendors.</w:t>
      </w:r>
    </w:p>
    <w:p>
      <w:pPr>
        <w:pStyle w:val="Heading2"/>
      </w:pPr>
      <w:r>
        <w:t>9.3 Exclusions</w:t>
      </w:r>
    </w:p>
    <w:p>
      <w:pPr>
        <w:pStyle w:val="ListBullet"/>
      </w:pPr>
      <w:r>
        <w:t>Migration of legacy clinical scheduling system data beyond credentialing status flags.</w:t>
      </w:r>
    </w:p>
    <w:p>
      <w:pPr>
        <w:pStyle w:val="ListBullet"/>
      </w:pPr>
      <w:r>
        <w:t>Implementation of a new time‑and‑attendance hardware solution.</w:t>
      </w:r>
    </w:p>
    <w:p>
      <w:pPr>
        <w:pStyle w:val="ListBullet"/>
      </w:pPr>
      <w:r>
        <w:t>Custom development of a mobile app outside of standard Fusion Self‑Service mobile capabilities.</w:t>
      </w:r>
    </w:p>
    <w:p>
      <w:pPr>
        <w:pStyle w:val="ListBullet"/>
      </w:pPr>
      <w:r>
        <w:t>Integration with third‑party learning management systems not covered by Fusion Learning Management.</w:t>
      </w:r>
    </w:p>
    <w:p>
      <w:pPr>
        <w:pStyle w:val="ListBullet"/>
      </w:pPr>
      <w:r>
        <w:t>Data archiving strategy for legacy systems beyond the 3‑year historical window.</w:t>
      </w:r>
    </w:p>
    <w:p>
      <w:r>
        <w:br w:type="page"/>
      </w:r>
    </w:p>
    <w:p>
      <w:pPr>
        <w:pStyle w:val="Heading1"/>
      </w:pPr>
      <w:r>
        <w:t>10. Sign Off Sheet</w:t>
      </w:r>
    </w:p>
    <w:tbl>
      <w:tblPr>
        <w:tblStyle w:val="LightShading-Accent1"/>
        <w:tblW w:type="auto" w:w="0"/>
        <w:tblLook w:firstColumn="1" w:firstRow="1" w:lastColumn="0" w:lastRow="0" w:noHBand="0" w:noVBand="1" w:val="04A0"/>
      </w:tblPr>
      <w:tblGrid>
        <w:gridCol w:w="2275"/>
        <w:gridCol w:w="2275"/>
        <w:gridCol w:w="2275"/>
        <w:gridCol w:w="2275"/>
      </w:tblGrid>
      <w:tr>
        <w:tc>
          <w:tcPr>
            <w:tcW w:type="dxa" w:w="2275"/>
          </w:tcPr>
          <w:p>
            <w:r>
              <w:rPr>
                <w:b/>
              </w:rPr>
              <w:t>Role</w:t>
            </w:r>
          </w:p>
        </w:tc>
        <w:tc>
          <w:tcPr>
            <w:tcW w:type="dxa" w:w="2275"/>
          </w:tcPr>
          <w:p>
            <w:r>
              <w:rPr>
                <w:b/>
              </w:rPr>
              <w:t>Name</w:t>
            </w:r>
          </w:p>
        </w:tc>
        <w:tc>
          <w:tcPr>
            <w:tcW w:type="dxa" w:w="2275"/>
          </w:tcPr>
          <w:p>
            <w:r>
              <w:rPr>
                <w:b/>
              </w:rPr>
              <w:t>Signature</w:t>
            </w:r>
          </w:p>
        </w:tc>
        <w:tc>
          <w:tcPr>
            <w:tcW w:type="dxa" w:w="2275"/>
          </w:tcPr>
          <w:p>
            <w:r>
              <w:rPr>
                <w:b/>
              </w:rPr>
              <w:t>Date</w:t>
            </w:r>
          </w:p>
        </w:tc>
      </w:tr>
      <w:tr>
        <w:tc>
          <w:tcPr>
            <w:tcW w:type="dxa" w:w="2275"/>
          </w:tcPr>
          <w:p>
            <w:r>
              <w:t>Oracle Solution Architect</w:t>
            </w:r>
          </w:p>
        </w:tc>
        <w:tc>
          <w:tcPr>
            <w:tcW w:type="dxa" w:w="2275"/>
          </w:tcPr>
          <w:p/>
        </w:tc>
        <w:tc>
          <w:tcPr>
            <w:tcW w:type="dxa" w:w="2275"/>
          </w:tcPr>
          <w:p/>
        </w:tc>
        <w:tc>
          <w:tcPr>
            <w:tcW w:type="dxa" w:w="2275"/>
          </w:tcPr>
          <w:p/>
        </w:tc>
      </w:tr>
      <w:tr>
        <w:tc>
          <w:tcPr>
            <w:tcW w:type="dxa" w:w="2275"/>
          </w:tcPr>
          <w:p>
            <w:r>
              <w:t>Client HR Project Lead</w:t>
            </w:r>
          </w:p>
        </w:tc>
        <w:tc>
          <w:tcPr>
            <w:tcW w:type="dxa" w:w="2275"/>
          </w:tcPr>
          <w:p/>
        </w:tc>
        <w:tc>
          <w:tcPr>
            <w:tcW w:type="dxa" w:w="2275"/>
          </w:tcPr>
          <w:p/>
        </w:tc>
        <w:tc>
          <w:tcPr>
            <w:tcW w:type="dxa" w:w="2275"/>
          </w:tcPr>
          <w:p/>
        </w:tc>
      </w:tr>
      <w:tr>
        <w:tc>
          <w:tcPr>
            <w:tcW w:type="dxa" w:w="2275"/>
          </w:tcPr>
          <w:p>
            <w:r>
              <w:t>Client IT Lead</w:t>
            </w:r>
          </w:p>
        </w:tc>
        <w:tc>
          <w:tcPr>
            <w:tcW w:type="dxa" w:w="2275"/>
          </w:tcPr>
          <w:p/>
        </w:tc>
        <w:tc>
          <w:tcPr>
            <w:tcW w:type="dxa" w:w="2275"/>
          </w:tcPr>
          <w:p/>
        </w:tc>
        <w:tc>
          <w:tcPr>
            <w:tcW w:type="dxa" w:w="2275"/>
          </w:tcPr>
          <w:p/>
        </w:tc>
      </w:tr>
      <w:tr>
        <w:tc>
          <w:tcPr>
            <w:tcW w:type="dxa" w:w="2275"/>
          </w:tcPr>
          <w:p>
            <w:r>
              <w:t>Oracle Project Manager</w:t>
            </w:r>
          </w:p>
        </w:tc>
        <w:tc>
          <w:tcPr>
            <w:tcW w:type="dxa" w:w="2275"/>
          </w:tcPr>
          <w:p/>
        </w:tc>
        <w:tc>
          <w:tcPr>
            <w:tcW w:type="dxa" w:w="2275"/>
          </w:tcPr>
          <w:p/>
        </w:tc>
        <w:tc>
          <w:tcPr>
            <w:tcW w:type="dxa" w:w="2275"/>
          </w:tcPr>
          <w:p/>
        </w:tc>
      </w:tr>
      <w:tr>
        <w:tc>
          <w:tcPr>
            <w:tcW w:type="dxa" w:w="2275"/>
          </w:tcPr>
          <w:p>
            <w:r>
              <w:t>Client Sponsor</w:t>
            </w:r>
          </w:p>
        </w:tc>
        <w:tc>
          <w:tcPr>
            <w:tcW w:type="dxa" w:w="2275"/>
          </w:tcPr>
          <w:p/>
        </w:tc>
        <w:tc>
          <w:tcPr>
            <w:tcW w:type="dxa" w:w="2275"/>
          </w:tcPr>
          <w:p/>
        </w:tc>
        <w:tc>
          <w:tcPr>
            <w:tcW w:type="dxa" w:w="2275"/>
          </w:tcPr>
          <w:p/>
        </w:tc>
      </w:tr>
    </w:tbl>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