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《机器视觉与图像处理》课程设计报告</w:t>
      </w:r>
    </w:p>
    <w:p>
      <w:pPr>
        <w:pStyle w:val="Title"/>
      </w:pPr>
      <w:r>
        <w:t>题目：基于 OpenCV 的木材结疤检测系统</w:t>
      </w:r>
    </w:p>
    <w:p>
      <w:pPr>
        <w:pStyle w:val="Heading1"/>
      </w:pPr>
      <w:r>
        <w:t>一、研究对象与性能指标</w:t>
      </w:r>
    </w:p>
    <w:p>
      <w:r>
        <w:t>本设计面向板材分级与加工前检测场景，目标是在木材表面图像中定位结疤区域，同时抑制树心区域误检。系统以矩形框输出结疤位置，并以 precision、recall、F1 和平均 IoU 评价检测效果。</w:t>
      </w:r>
    </w:p>
    <w:p>
      <w:pPr>
        <w:pStyle w:val="Heading1"/>
      </w:pPr>
      <w:r>
        <w:t>二、系统硬件选型与架构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</w:tcPr>
          <w:p>
            <w:r>
              <w:rPr>
                <w:b/>
              </w:rPr>
              <w:t>选型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w="2400" w:type="dxa"/>
          </w:tcPr>
          <w:p>
            <w:r>
              <w:t>工业相机</w:t>
            </w:r>
          </w:p>
        </w:tc>
        <w:tc>
          <w:tcPr>
            <w:tcW w:w="2400" w:type="dxa"/>
          </w:tcPr>
          <w:p>
            <w:r>
              <w:t>500 万像素全局快门彩色相机</w:t>
            </w:r>
          </w:p>
        </w:tc>
        <w:tc>
          <w:tcPr>
            <w:tcW w:w="2400" w:type="dxa"/>
          </w:tcPr>
          <w:p>
            <w:r>
              <w:t>采集板材表面纹理与颜色信息</w:t>
            </w:r>
          </w:p>
        </w:tc>
      </w:tr>
      <w:tr>
        <w:tc>
          <w:tcPr>
            <w:tcW w:w="2400" w:type="dxa"/>
          </w:tcPr>
          <w:p>
            <w:r>
              <w:t>镜头</w:t>
            </w:r>
          </w:p>
        </w:tc>
        <w:tc>
          <w:tcPr>
            <w:tcW w:w="2400" w:type="dxa"/>
          </w:tcPr>
          <w:p>
            <w:r>
              <w:t>12 mm 定焦低畸变镜头</w:t>
            </w:r>
          </w:p>
        </w:tc>
        <w:tc>
          <w:tcPr>
            <w:tcW w:w="2400" w:type="dxa"/>
          </w:tcPr>
          <w:p>
            <w:r>
              <w:t>保证视场覆盖和边缘成像质量</w:t>
            </w:r>
          </w:p>
        </w:tc>
      </w:tr>
      <w:tr>
        <w:tc>
          <w:tcPr>
            <w:tcW w:w="2400" w:type="dxa"/>
          </w:tcPr>
          <w:p>
            <w:r>
              <w:t>光源</w:t>
            </w:r>
          </w:p>
        </w:tc>
        <w:tc>
          <w:tcPr>
            <w:tcW w:w="2400" w:type="dxa"/>
          </w:tcPr>
          <w:p>
            <w:r>
              <w:t>条形漫反射 LED，色温 5000 K</w:t>
            </w:r>
          </w:p>
        </w:tc>
        <w:tc>
          <w:tcPr>
            <w:tcW w:w="2400" w:type="dxa"/>
          </w:tcPr>
          <w:p>
            <w:r>
              <w:t>削弱木纹高光，提高结疤对比度</w:t>
            </w:r>
          </w:p>
        </w:tc>
      </w:tr>
      <w:tr>
        <w:tc>
          <w:tcPr>
            <w:tcW w:w="2400" w:type="dxa"/>
          </w:tcPr>
          <w:p>
            <w:r>
              <w:t>计算单元</w:t>
            </w:r>
          </w:p>
        </w:tc>
        <w:tc>
          <w:tcPr>
            <w:tcW w:w="2400" w:type="dxa"/>
          </w:tcPr>
          <w:p>
            <w:r>
              <w:t>工控机 + Python/OpenCV</w:t>
            </w:r>
          </w:p>
        </w:tc>
        <w:tc>
          <w:tcPr>
            <w:tcW w:w="2400" w:type="dxa"/>
          </w:tcPr>
          <w:p>
            <w:r>
              <w:t>完成预处理、候选分割、连通域分析和结果输出</w:t>
            </w:r>
          </w:p>
        </w:tc>
      </w:tr>
      <w:tr>
        <w:tc>
          <w:tcPr>
            <w:tcW w:w="2400" w:type="dxa"/>
          </w:tcPr>
          <w:p>
            <w:r>
              <w:t>输送与触发</w:t>
            </w:r>
          </w:p>
        </w:tc>
        <w:tc>
          <w:tcPr>
            <w:tcW w:w="2400" w:type="dxa"/>
          </w:tcPr>
          <w:p>
            <w:r>
              <w:t>编码器、光电传感器、PLC</w:t>
            </w:r>
          </w:p>
        </w:tc>
        <w:tc>
          <w:tcPr>
            <w:tcW w:w="2400" w:type="dxa"/>
          </w:tcPr>
          <w:p>
            <w:r>
              <w:t>保证采集位置稳定，并与生产线联动</w:t>
            </w:r>
          </w:p>
        </w:tc>
      </w:tr>
    </w:tbl>
    <w:p>
      <w:pPr>
        <w:pStyle w:val="Heading1"/>
      </w:pPr>
      <w:r>
        <w:t>三、软件架构与关键算法</w:t>
      </w:r>
    </w:p>
    <w:p>
      <w:r>
        <w:t>软件流程包括图像采集、颜色空间转换、候选区域分割、形态学滤波、连通域筛选、树心排除、结果标注和统计评估。关键算法先在 HSV 与灰度空间中提取暗棕色候选区域，再用开闭运算去噪和补洞，随后按面积、长宽比、填充率筛除木纹噪声。树心区域在示例和测试集中表现为蓝色或偏蓝标注，算法通过色相与饱和度规则排除该类区域，避免把树心误报为结疤。</w:t>
      </w:r>
    </w:p>
    <w:p>
      <w:pPr>
        <w:pStyle w:val="Heading1"/>
      </w:pPr>
      <w:r>
        <w:t>四、程序实现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>文件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src/wood_knot/generator.py</w:t>
            </w:r>
          </w:p>
        </w:tc>
        <w:tc>
          <w:tcPr>
            <w:tcW w:w="2400" w:type="dxa"/>
          </w:tcPr>
          <w:p>
            <w:r>
              <w:t>生成带结疤和树心标注的可控合成板材图像</w:t>
            </w:r>
          </w:p>
        </w:tc>
      </w:tr>
      <w:tr>
        <w:tc>
          <w:tcPr>
            <w:tcW w:w="2400" w:type="dxa"/>
          </w:tcPr>
          <w:p>
            <w:r>
              <w:t>src/wood_knot/detector.py</w:t>
            </w:r>
          </w:p>
        </w:tc>
        <w:tc>
          <w:tcPr>
            <w:tcW w:w="2400" w:type="dxa"/>
          </w:tcPr>
          <w:p>
            <w:r>
              <w:t>OpenCV 规则检测器与灰度阈值基线检测器</w:t>
            </w:r>
          </w:p>
        </w:tc>
      </w:tr>
      <w:tr>
        <w:tc>
          <w:tcPr>
            <w:tcW w:w="2400" w:type="dxa"/>
          </w:tcPr>
          <w:p>
            <w:r>
              <w:t>src/wood_knot/evaluation.py</w:t>
            </w:r>
          </w:p>
        </w:tc>
        <w:tc>
          <w:tcPr>
            <w:tcW w:w="2400" w:type="dxa"/>
          </w:tcPr>
          <w:p>
            <w:r>
              <w:t>IoU、precision、recall、F1 等评价指标</w:t>
            </w:r>
          </w:p>
        </w:tc>
      </w:tr>
      <w:tr>
        <w:tc>
          <w:tcPr>
            <w:tcW w:w="2400" w:type="dxa"/>
          </w:tcPr>
          <w:p>
            <w:r>
              <w:t>scripts/run_experiment.py</w:t>
            </w:r>
          </w:p>
        </w:tc>
        <w:tc>
          <w:tcPr>
            <w:tcW w:w="2400" w:type="dxa"/>
          </w:tcPr>
          <w:p>
            <w:r>
              <w:t>批量生成图像、运行对比实验、输出图表和报告</w:t>
            </w:r>
          </w:p>
        </w:tc>
      </w:tr>
      <w:tr>
        <w:tc>
          <w:tcPr>
            <w:tcW w:w="2400" w:type="dxa"/>
          </w:tcPr>
          <w:p>
            <w:r>
              <w:t>tests/test_detector.py</w:t>
            </w:r>
          </w:p>
        </w:tc>
        <w:tc>
          <w:tcPr>
            <w:tcW w:w="2400" w:type="dxa"/>
          </w:tcPr>
          <w:p>
            <w:r>
              <w:t>核心行为的自动化测试</w:t>
            </w:r>
          </w:p>
        </w:tc>
      </w:tr>
    </w:tbl>
    <w:p>
      <w:pPr>
        <w:pStyle w:val="Heading1"/>
      </w:pPr>
      <w:r>
        <w:t>五、验证与现有方法对比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>方法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Precision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Recall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F1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Mean IoU</w:t>
            </w:r>
          </w:p>
        </w:tc>
      </w:tr>
      <w:tr>
        <w:tc>
          <w:tcPr>
            <w:tcW w:w="2400" w:type="dxa"/>
          </w:tcPr>
          <w:p>
            <w:r>
              <w:t>OpenCV 颜色-形态学规则法</w:t>
            </w:r>
          </w:p>
        </w:tc>
        <w:tc>
          <w:tcPr>
            <w:tcW w:w="2400" w:type="dxa"/>
          </w:tcPr>
          <w:p>
            <w:r>
              <w:t>1.000</w:t>
            </w:r>
          </w:p>
        </w:tc>
        <w:tc>
          <w:tcPr>
            <w:tcW w:w="2400" w:type="dxa"/>
          </w:tcPr>
          <w:p>
            <w:r>
              <w:t>0.919</w:t>
            </w:r>
          </w:p>
        </w:tc>
        <w:tc>
          <w:tcPr>
            <w:tcW w:w="2400" w:type="dxa"/>
          </w:tcPr>
          <w:p>
            <w:r>
              <w:t>0.948</w:t>
            </w:r>
          </w:p>
        </w:tc>
        <w:tc>
          <w:tcPr>
            <w:tcW w:w="2400" w:type="dxa"/>
          </w:tcPr>
          <w:p>
            <w:r>
              <w:t>0.844</w:t>
            </w:r>
          </w:p>
        </w:tc>
      </w:tr>
      <w:tr>
        <w:tc>
          <w:tcPr>
            <w:tcW w:w="2400" w:type="dxa"/>
          </w:tcPr>
          <w:p>
            <w:r>
              <w:t>灰度阈值基线法</w:t>
            </w:r>
          </w:p>
        </w:tc>
        <w:tc>
          <w:tcPr>
            <w:tcW w:w="2400" w:type="dxa"/>
          </w:tcPr>
          <w:p>
            <w:r>
              <w:t>0.908</w:t>
            </w:r>
          </w:p>
        </w:tc>
        <w:tc>
          <w:tcPr>
            <w:tcW w:w="2400" w:type="dxa"/>
          </w:tcPr>
          <w:p>
            <w:r>
              <w:t>0.489</w:t>
            </w:r>
          </w:p>
        </w:tc>
        <w:tc>
          <w:tcPr>
            <w:tcW w:w="2400" w:type="dxa"/>
          </w:tcPr>
          <w:p>
            <w:r>
              <w:t>0.605</w:t>
            </w:r>
          </w:p>
        </w:tc>
        <w:tc>
          <w:tcPr>
            <w:tcW w:w="2400" w:type="dxa"/>
          </w:tcPr>
          <w:p>
            <w:r>
              <w:t>0.750</w:t>
            </w:r>
          </w:p>
        </w:tc>
      </w:tr>
    </w:tbl>
    <w:p>
      <w:r>
        <w:t>对比结果表明，单纯灰度阈值容易把树心、深色木纹或阴影一起检出；加入颜色约束、形态学和连通域筛选后，在本设计的验证集上能够提高误检抑制能力。详细样例图、CSV 和 JSON 结果见 outputs 目录。</w:t>
      </w:r>
    </w:p>
    <w:p>
      <w:pPr>
        <w:pStyle w:val="Heading1"/>
      </w:pPr>
      <w:r>
        <w:t>六、算法使用边界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>边界条件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>影响</w:t>
            </w:r>
          </w:p>
        </w:tc>
        <w:tc>
          <w:tcPr>
            <w:tcW w:w="2400" w:type="dxa"/>
          </w:tcPr>
          <w:p>
            <w:r>
              <w:rPr>
                <w:b/>
              </w:rPr>
              <w:t>处理建议</w:t>
            </w:r>
          </w:p>
        </w:tc>
      </w:tr>
      <w:tr>
        <w:tc>
          <w:tcPr>
            <w:tcW w:w="2400" w:type="dxa"/>
          </w:tcPr>
          <w:p>
            <w:r>
              <w:t>光照剧烈变化或强反光</w:t>
            </w:r>
          </w:p>
        </w:tc>
        <w:tc>
          <w:tcPr>
            <w:tcW w:w="2400" w:type="dxa"/>
          </w:tcPr>
          <w:p>
            <w:r>
              <w:t>颜色阈值漂移，结疤和背景对比下降</w:t>
            </w:r>
          </w:p>
        </w:tc>
        <w:tc>
          <w:tcPr>
            <w:tcW w:w="2400" w:type="dxa"/>
          </w:tcPr>
          <w:p>
            <w:r>
              <w:t>固定漫反射光源，增加白平衡和亮度归一化</w:t>
            </w:r>
          </w:p>
        </w:tc>
      </w:tr>
      <w:tr>
        <w:tc>
          <w:tcPr>
            <w:tcW w:w="2400" w:type="dxa"/>
          </w:tcPr>
          <w:p>
            <w:r>
              <w:t>结疤颜色接近正常木纹</w:t>
            </w:r>
          </w:p>
        </w:tc>
        <w:tc>
          <w:tcPr>
            <w:tcW w:w="2400" w:type="dxa"/>
          </w:tcPr>
          <w:p>
            <w:r>
              <w:t>候选区域可能漏检</w:t>
            </w:r>
          </w:p>
        </w:tc>
        <w:tc>
          <w:tcPr>
            <w:tcW w:w="2400" w:type="dxa"/>
          </w:tcPr>
          <w:p>
            <w:r>
              <w:t>加入纹理特征或训练式分类器</w:t>
            </w:r>
          </w:p>
        </w:tc>
      </w:tr>
      <w:tr>
        <w:tc>
          <w:tcPr>
            <w:tcW w:w="2400" w:type="dxa"/>
          </w:tcPr>
          <w:p>
            <w:r>
              <w:t>树心颜色不是蓝色标注而接近结疤</w:t>
            </w:r>
          </w:p>
        </w:tc>
        <w:tc>
          <w:tcPr>
            <w:tcW w:w="2400" w:type="dxa"/>
          </w:tcPr>
          <w:p>
            <w:r>
              <w:t>规则排除能力下降</w:t>
            </w:r>
          </w:p>
        </w:tc>
        <w:tc>
          <w:tcPr>
            <w:tcW w:w="2400" w:type="dxa"/>
          </w:tcPr>
          <w:p>
            <w:r>
              <w:t>补充形状、位置和纹理判据</w:t>
            </w:r>
          </w:p>
        </w:tc>
      </w:tr>
      <w:tr>
        <w:tc>
          <w:tcPr>
            <w:tcW w:w="2400" w:type="dxa"/>
          </w:tcPr>
          <w:p>
            <w:r>
              <w:t>木材品种变化大</w:t>
            </w:r>
          </w:p>
        </w:tc>
        <w:tc>
          <w:tcPr>
            <w:tcW w:w="2400" w:type="dxa"/>
          </w:tcPr>
          <w:p>
            <w:r>
              <w:t>阈值需要重新标定</w:t>
            </w:r>
          </w:p>
        </w:tc>
        <w:tc>
          <w:tcPr>
            <w:tcW w:w="2400" w:type="dxa"/>
          </w:tcPr>
          <w:p>
            <w:r>
              <w:t>按木种维护参数或使用小样本校准</w:t>
            </w:r>
          </w:p>
        </w:tc>
      </w:tr>
    </w:tbl>
    <w:p>
      <w:pPr>
        <w:pStyle w:val="Heading1"/>
      </w:pPr>
      <w:r>
        <w:t>七、课程要求对应关系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>要求</w:t>
            </w:r>
          </w:p>
        </w:tc>
        <w:tc>
          <w:tcPr>
            <w:tcW w:w="2400" w:type="dxa"/>
          </w:tcPr>
          <w:p>
            <w:r>
              <w:rPr>
                <w:b/>
              </w:rPr>
              <w:t>对应成果</w:t>
            </w:r>
          </w:p>
        </w:tc>
      </w:tr>
      <w:tr>
        <w:tc>
          <w:tcPr>
            <w:tcW w:w="2400" w:type="dxa"/>
          </w:tcPr>
          <w:p>
            <w:r>
              <w:t>建立系统硬件选型与架构</w:t>
            </w:r>
          </w:p>
        </w:tc>
        <w:tc>
          <w:tcPr>
            <w:tcW w:w="2400" w:type="dxa"/>
          </w:tcPr>
          <w:p>
            <w:r>
              <w:t>报告第二节给出相机、镜头、光源、工控机、触发系统选型</w:t>
            </w:r>
          </w:p>
        </w:tc>
      </w:tr>
      <w:tr>
        <w:tc>
          <w:tcPr>
            <w:tcW w:w="2400" w:type="dxa"/>
          </w:tcPr>
          <w:p>
            <w:r>
              <w:t>建立系统软件架构并设计关键算法</w:t>
            </w:r>
          </w:p>
        </w:tc>
        <w:tc>
          <w:tcPr>
            <w:tcW w:w="2400" w:type="dxa"/>
          </w:tcPr>
          <w:p>
            <w:r>
              <w:t>报告第三节和 detector.py 给出处理流程和关键规则</w:t>
            </w:r>
          </w:p>
        </w:tc>
      </w:tr>
      <w:tr>
        <w:tc>
          <w:tcPr>
            <w:tcW w:w="2400" w:type="dxa"/>
          </w:tcPr>
          <w:p>
            <w:r>
              <w:t>采用 OpenCV 等工具编程实现</w:t>
            </w:r>
          </w:p>
        </w:tc>
        <w:tc>
          <w:tcPr>
            <w:tcW w:w="2400" w:type="dxa"/>
          </w:tcPr>
          <w:p>
            <w:r>
              <w:t>detector.py 使用 cv2 完成颜色空间转换、形态学和连通域分析</w:t>
            </w:r>
          </w:p>
        </w:tc>
      </w:tr>
      <w:tr>
        <w:tc>
          <w:tcPr>
            <w:tcW w:w="2400" w:type="dxa"/>
          </w:tcPr>
          <w:p>
            <w:r>
              <w:t>验证、对比分析、给出算法边界</w:t>
            </w:r>
          </w:p>
        </w:tc>
        <w:tc>
          <w:tcPr>
            <w:tcW w:w="2400" w:type="dxa"/>
          </w:tcPr>
          <w:p>
            <w:r>
              <w:t>run_experiment.py 输出指标、对比图，报告第五和第六节说明边界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basedOn w:val="Normal"/>
    <w:rPr>
      <w:b/>
      <w:rFonts w:ascii="Microsoft YaHei" w:eastAsia="Microsoft YaHei"/>
      <w:sz w:val="36"/>
    </w:rPr>
    <w:pPr>
      <w:jc w:val="center"/>
      <w:spacing w:after="260"/>
    </w:pPr>
  </w:style>
  <w:style w:type="paragraph" w:styleId="Heading1">
    <w:name w:val="Heading 1"/>
    <w:basedOn w:val="Normal"/>
    <w:rPr>
      <w:b/>
      <w:rFonts w:ascii="Microsoft YaHei" w:eastAsia="Microsoft YaHei"/>
      <w:sz w:val="28"/>
    </w:rPr>
    <w:pPr>
      <w:spacing w:before="260" w:after="1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