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0E04D" w14:textId="77777777" w:rsidR="00A66D97" w:rsidRPr="00A66D97" w:rsidRDefault="00A66D97" w:rsidP="00A66D97">
      <w:pPr>
        <w:shd w:val="clear" w:color="auto" w:fill="FFFFFF"/>
        <w:bidi/>
        <w:spacing w:after="15" w:line="240" w:lineRule="auto"/>
        <w:rPr>
          <w:rFonts w:asciiTheme="minorBidi" w:eastAsia="Times New Roman" w:hAnsiTheme="minorBidi"/>
          <w:sz w:val="24"/>
          <w:szCs w:val="24"/>
        </w:rPr>
      </w:pPr>
      <w:r w:rsidRPr="00A66D97">
        <w:rPr>
          <w:rFonts w:asciiTheme="minorBidi" w:eastAsia="Times New Roman" w:hAnsiTheme="minorBidi"/>
          <w:b/>
          <w:bCs/>
          <w:sz w:val="24"/>
          <w:szCs w:val="24"/>
        </w:rPr>
        <w:br/>
      </w:r>
      <w:r w:rsidRPr="00A66D97">
        <w:rPr>
          <w:rFonts w:asciiTheme="minorBidi" w:eastAsia="Times New Roman" w:hAnsiTheme="minorBidi"/>
          <w:b/>
          <w:bCs/>
          <w:sz w:val="24"/>
          <w:szCs w:val="24"/>
          <w:rtl/>
        </w:rPr>
        <w:t>קטע 1</w:t>
      </w:r>
    </w:p>
    <w:p w14:paraId="23D9B85A" w14:textId="77777777" w:rsidR="00A66D97" w:rsidRPr="00A66D97" w:rsidRDefault="00A66D97" w:rsidP="00A66D97">
      <w:pPr>
        <w:shd w:val="clear" w:color="auto" w:fill="FFFFFF"/>
        <w:bidi/>
        <w:spacing w:after="15" w:line="240" w:lineRule="auto"/>
        <w:rPr>
          <w:rFonts w:asciiTheme="minorBidi" w:eastAsia="Times New Roman" w:hAnsiTheme="minorBidi"/>
          <w:sz w:val="24"/>
          <w:szCs w:val="24"/>
        </w:rPr>
      </w:pPr>
      <w:r w:rsidRPr="00A66D97">
        <w:rPr>
          <w:rFonts w:asciiTheme="minorBidi" w:eastAsia="Times New Roman" w:hAnsiTheme="minorBidi"/>
          <w:sz w:val="24"/>
          <w:szCs w:val="24"/>
        </w:rPr>
        <w:t>"</w:t>
      </w:r>
      <w:r w:rsidRPr="00A66D97">
        <w:rPr>
          <w:rFonts w:asciiTheme="minorBidi" w:eastAsia="Times New Roman" w:hAnsiTheme="minorBidi"/>
          <w:sz w:val="24"/>
          <w:szCs w:val="24"/>
          <w:rtl/>
        </w:rPr>
        <w:t xml:space="preserve">החלטת </w:t>
      </w:r>
      <w:r w:rsidRPr="00A66D97">
        <w:rPr>
          <w:rFonts w:asciiTheme="minorBidi" w:eastAsia="Times New Roman" w:hAnsiTheme="minorBidi"/>
          <w:b/>
          <w:bCs/>
          <w:sz w:val="24"/>
          <w:szCs w:val="24"/>
          <w:rtl/>
        </w:rPr>
        <w:t>בית הדין הפלילי הבינלאומי</w:t>
      </w:r>
      <w:r w:rsidRPr="00A66D97">
        <w:rPr>
          <w:rFonts w:asciiTheme="minorBidi" w:eastAsia="Times New Roman" w:hAnsiTheme="minorBidi"/>
          <w:sz w:val="24"/>
          <w:szCs w:val="24"/>
          <w:rtl/>
        </w:rPr>
        <w:t xml:space="preserve"> כי לתובעת של בית הדין נתונה הסמכות להמשיך בחקירת החשדות בדבר </w:t>
      </w:r>
      <w:r w:rsidRPr="00A66D97">
        <w:rPr>
          <w:rFonts w:asciiTheme="minorBidi" w:eastAsia="Times New Roman" w:hAnsiTheme="minorBidi"/>
          <w:b/>
          <w:bCs/>
          <w:sz w:val="24"/>
          <w:szCs w:val="24"/>
          <w:rtl/>
        </w:rPr>
        <w:t>הפרות של חוקתו בשטחים שמעבר לקו הירוק</w:t>
      </w:r>
      <w:r w:rsidRPr="00A66D97">
        <w:rPr>
          <w:rFonts w:asciiTheme="minorBidi" w:eastAsia="Times New Roman" w:hAnsiTheme="minorBidi"/>
          <w:sz w:val="24"/>
          <w:szCs w:val="24"/>
          <w:rtl/>
        </w:rPr>
        <w:t xml:space="preserve"> אינה אלא תחילתו של הליך החקירה, שצפוי להימשך שנים רבות. מה בדיוק היא עתידה לחקור, באילו קשיים היא עלולה להיתקל ומהן ההשלכות האפשריות מבחינת מדינת ישראל? ב-5 בפברואר 2021 קבעה ערכאת קדם המשפט של בית הדין הפלילי הבינלאומי בדעת רוב כי לתובעת של בית הדין הפלילי הבינלאומי נתונה הסמכות לפתוח, או למעשה להמשיך, בחקירת החשדות בדבר הפרות של חוקת בית הדין הפלילי הבינלאומי בשטחים שמעבר לקו הירוק (יהודה, שומרון, עזה, מזרח ירושלים)</w:t>
      </w:r>
      <w:r w:rsidRPr="00A66D97">
        <w:rPr>
          <w:rFonts w:asciiTheme="minorBidi" w:eastAsia="Times New Roman" w:hAnsiTheme="minorBidi"/>
          <w:sz w:val="24"/>
          <w:szCs w:val="24"/>
        </w:rPr>
        <w:t>. ...</w:t>
      </w:r>
    </w:p>
    <w:p w14:paraId="72820805" w14:textId="77777777" w:rsidR="00A66D97" w:rsidRPr="00A66D97" w:rsidRDefault="00A66D97" w:rsidP="00A66D97">
      <w:pPr>
        <w:shd w:val="clear" w:color="auto" w:fill="FFFFFF"/>
        <w:bidi/>
        <w:spacing w:after="15" w:line="240" w:lineRule="auto"/>
        <w:rPr>
          <w:rFonts w:asciiTheme="minorBidi" w:eastAsia="Times New Roman" w:hAnsiTheme="minorBidi"/>
          <w:sz w:val="24"/>
          <w:szCs w:val="24"/>
        </w:rPr>
      </w:pPr>
      <w:r w:rsidRPr="00A66D97">
        <w:rPr>
          <w:rFonts w:asciiTheme="minorBidi" w:eastAsia="Times New Roman" w:hAnsiTheme="minorBidi"/>
          <w:sz w:val="24"/>
          <w:szCs w:val="24"/>
          <w:rtl/>
        </w:rPr>
        <w:t>בית הדין הפלילי הבינלאומי</w:t>
      </w:r>
      <w:r w:rsidRPr="00A66D97">
        <w:rPr>
          <w:rFonts w:asciiTheme="minorBidi" w:eastAsia="Times New Roman" w:hAnsiTheme="minorBidi"/>
          <w:sz w:val="24"/>
          <w:szCs w:val="24"/>
        </w:rPr>
        <w:t xml:space="preserve"> (ICC) </w:t>
      </w:r>
      <w:r w:rsidRPr="00A66D97">
        <w:rPr>
          <w:rFonts w:asciiTheme="minorBidi" w:eastAsia="Times New Roman" w:hAnsiTheme="minorBidi"/>
          <w:sz w:val="24"/>
          <w:szCs w:val="24"/>
          <w:rtl/>
        </w:rPr>
        <w:t>הוא בית דין שבו עומדים לדין נאשמים בביצוע פשעים בינלאומיים חמורים (פשעי מלחמה, פשעים נגד האנושות, רצח עם, תוקפנות). ההחלטה על הקמתו התקבלה בשנת 1998, אבל מעשית הוא החל לפעול בשנת 2002, כאשר חוקת רומא – האמנה שהקימה את בית הדין – נכנסה לתוקף. לחוקת רומא הצטרפו 123 מדינות. נכון להיום, בית הדין הפלילי הבינלאומי מנהל הליכים משפטיים ב-13 זירות שבוצעו בהן, לכאורה, פשעים בינלאומיים (לא כולל פלסטין). עד כה הוגשו כתבי אישום ב-30 תיקים (בחלקם נגד יותר מנאשם אחד). התובעת של בית הדין עורכת גם בדיקות מקדמיות לחקירה בשמונה זירות נוספות</w:t>
      </w:r>
      <w:r w:rsidRPr="00A66D97">
        <w:rPr>
          <w:rFonts w:asciiTheme="minorBidi" w:eastAsia="Times New Roman" w:hAnsiTheme="minorBidi"/>
          <w:sz w:val="24"/>
          <w:szCs w:val="24"/>
        </w:rPr>
        <w:t>. "</w:t>
      </w:r>
    </w:p>
    <w:p w14:paraId="017A91EB" w14:textId="77777777" w:rsidR="00A66D97" w:rsidRPr="00A66D97" w:rsidRDefault="00A66D97" w:rsidP="00A66D97">
      <w:pPr>
        <w:shd w:val="clear" w:color="auto" w:fill="FFFFFF"/>
        <w:bidi/>
        <w:spacing w:after="15" w:line="240" w:lineRule="auto"/>
        <w:rPr>
          <w:rFonts w:asciiTheme="minorBidi" w:eastAsia="Times New Roman" w:hAnsiTheme="minorBidi"/>
          <w:sz w:val="24"/>
          <w:szCs w:val="24"/>
        </w:rPr>
      </w:pPr>
      <w:r w:rsidRPr="00A66D97">
        <w:rPr>
          <w:rFonts w:asciiTheme="minorBidi" w:eastAsia="Times New Roman" w:hAnsiTheme="minorBidi"/>
          <w:sz w:val="24"/>
          <w:szCs w:val="24"/>
          <w:rtl/>
        </w:rPr>
        <w:t>מתוך: פרופ' עמיחי כהן, החלטת בית הדין הפלילי הבינלאומי - רקע, ניתוח והשלכות, המכון הישראלי לדמוקרטיה, פברואר 2021, גרסה חלקית</w:t>
      </w:r>
    </w:p>
    <w:p w14:paraId="563C9FA3" w14:textId="703EDD0E" w:rsidR="00A66D97" w:rsidRDefault="00A66D97" w:rsidP="00A66D97">
      <w:pPr>
        <w:shd w:val="clear" w:color="auto" w:fill="FFFFFF"/>
        <w:bidi/>
        <w:spacing w:after="15" w:line="240" w:lineRule="auto"/>
        <w:rPr>
          <w:rFonts w:asciiTheme="minorBidi" w:eastAsia="Times New Roman" w:hAnsiTheme="minorBidi"/>
          <w:sz w:val="24"/>
          <w:szCs w:val="24"/>
          <w:rtl/>
        </w:rPr>
      </w:pPr>
    </w:p>
    <w:p w14:paraId="36B3546D" w14:textId="55825AC9" w:rsidR="00A66D97" w:rsidRDefault="00A66D97" w:rsidP="00A66D97">
      <w:pPr>
        <w:shd w:val="clear" w:color="auto" w:fill="FFFFFF"/>
        <w:bidi/>
        <w:spacing w:after="15" w:line="240" w:lineRule="auto"/>
        <w:rPr>
          <w:rFonts w:asciiTheme="minorBidi" w:eastAsia="Times New Roman" w:hAnsiTheme="minorBidi"/>
          <w:b/>
          <w:bCs/>
          <w:sz w:val="24"/>
          <w:szCs w:val="24"/>
          <w:rtl/>
        </w:rPr>
      </w:pPr>
      <w:r>
        <w:rPr>
          <w:rFonts w:asciiTheme="minorBidi" w:eastAsia="Times New Roman" w:hAnsiTheme="minorBidi" w:hint="cs"/>
          <w:b/>
          <w:bCs/>
          <w:sz w:val="24"/>
          <w:szCs w:val="24"/>
          <w:rtl/>
        </w:rPr>
        <w:t>שאלות רלוונטיות</w:t>
      </w:r>
    </w:p>
    <w:p w14:paraId="674EB881" w14:textId="101D5176" w:rsidR="00450847" w:rsidRPr="00D30430" w:rsidRDefault="00450847" w:rsidP="00450847">
      <w:pPr>
        <w:pStyle w:val="a3"/>
        <w:numPr>
          <w:ilvl w:val="0"/>
          <w:numId w:val="4"/>
        </w:numPr>
        <w:shd w:val="clear" w:color="auto" w:fill="FFFFFF"/>
        <w:bidi/>
        <w:spacing w:after="15" w:line="240" w:lineRule="auto"/>
        <w:ind w:left="360"/>
        <w:rPr>
          <w:rFonts w:asciiTheme="minorBidi" w:eastAsia="Times New Roman" w:hAnsiTheme="minorBidi"/>
          <w:sz w:val="24"/>
          <w:szCs w:val="24"/>
          <w:rtl/>
        </w:rPr>
      </w:pPr>
      <w:r w:rsidRPr="00D30430">
        <w:rPr>
          <w:rFonts w:asciiTheme="minorBidi" w:eastAsia="Times New Roman" w:hAnsiTheme="minorBidi" w:cs="Arial"/>
          <w:sz w:val="24"/>
          <w:szCs w:val="24"/>
          <w:rtl/>
        </w:rPr>
        <w:t>אילו הפרות זכויות אדם מבצעת ישראל בשטחים שכבשה בשנת</w:t>
      </w:r>
      <w:r w:rsidRPr="00D30430">
        <w:rPr>
          <w:rFonts w:asciiTheme="minorBidi" w:eastAsia="Times New Roman" w:hAnsiTheme="minorBidi" w:cs="Arial" w:hint="cs"/>
          <w:sz w:val="24"/>
          <w:szCs w:val="24"/>
          <w:rtl/>
        </w:rPr>
        <w:t xml:space="preserve"> 1967? אילו מן ההפרות הללו יכולות להיחשב פשעים חמורים, הנמצאים בסמכותו של בית הדין הפלילי הבינלאומי?</w:t>
      </w:r>
      <w:r w:rsidRPr="00D30430">
        <w:rPr>
          <w:rFonts w:asciiTheme="minorBidi" w:eastAsia="Times New Roman" w:hAnsiTheme="minorBidi" w:cs="Arial" w:hint="cs"/>
          <w:sz w:val="24"/>
          <w:szCs w:val="24"/>
        </w:rPr>
        <w:t xml:space="preserve"> </w:t>
      </w:r>
    </w:p>
    <w:p w14:paraId="276F9E06" w14:textId="71AE6CFC" w:rsidR="00450847" w:rsidRPr="00D30430" w:rsidRDefault="00E33BF7" w:rsidP="00FD68BA">
      <w:pPr>
        <w:pStyle w:val="a3"/>
        <w:numPr>
          <w:ilvl w:val="0"/>
          <w:numId w:val="4"/>
        </w:numPr>
        <w:bidi/>
        <w:spacing w:line="276" w:lineRule="auto"/>
        <w:ind w:left="360"/>
        <w:jc w:val="both"/>
        <w:rPr>
          <w:sz w:val="24"/>
          <w:szCs w:val="24"/>
        </w:rPr>
      </w:pPr>
      <w:r w:rsidRPr="00D30430">
        <w:rPr>
          <w:sz w:val="24"/>
          <w:szCs w:val="24"/>
          <w:rtl/>
        </w:rPr>
        <w:t>הסבירו מהי יחסיות תרבותית. מהן תרומותיה לקידום זכויות אדם, ואילו סכנות אורבות לזכויות אדם בגישה זו</w:t>
      </w:r>
      <w:r w:rsidR="00450847" w:rsidRPr="00D30430">
        <w:rPr>
          <w:rFonts w:hint="cs"/>
          <w:sz w:val="24"/>
          <w:szCs w:val="24"/>
          <w:rtl/>
        </w:rPr>
        <w:t>?</w:t>
      </w:r>
    </w:p>
    <w:p w14:paraId="4B97E5F9" w14:textId="05458795" w:rsidR="00450847" w:rsidRPr="00D30430" w:rsidRDefault="00450847" w:rsidP="00450847">
      <w:pPr>
        <w:pStyle w:val="a3"/>
        <w:numPr>
          <w:ilvl w:val="0"/>
          <w:numId w:val="4"/>
        </w:numPr>
        <w:bidi/>
        <w:ind w:left="360"/>
        <w:rPr>
          <w:sz w:val="24"/>
          <w:szCs w:val="24"/>
        </w:rPr>
      </w:pPr>
      <w:r w:rsidRPr="00D30430">
        <w:rPr>
          <w:rFonts w:ascii="David" w:hAnsi="David" w:hint="cs"/>
          <w:sz w:val="24"/>
          <w:szCs w:val="24"/>
          <w:rtl/>
        </w:rPr>
        <w:t>מהם הישגיו של בית הדין בשנות פעילותו עד כה, ובמה הוא כשל?</w:t>
      </w:r>
    </w:p>
    <w:p w14:paraId="4E9694F2" w14:textId="0FF05042" w:rsidR="00A66D97" w:rsidRPr="00A66D97" w:rsidRDefault="00A66D97" w:rsidP="00A66D97">
      <w:pPr>
        <w:shd w:val="clear" w:color="auto" w:fill="FFFFFF"/>
        <w:bidi/>
        <w:spacing w:after="15" w:line="240" w:lineRule="auto"/>
        <w:rPr>
          <w:rFonts w:asciiTheme="minorBidi" w:eastAsia="Times New Roman" w:hAnsiTheme="minorBidi"/>
          <w:sz w:val="24"/>
          <w:szCs w:val="24"/>
        </w:rPr>
      </w:pPr>
    </w:p>
    <w:p w14:paraId="6EC5240D" w14:textId="77777777" w:rsidR="00A66D97" w:rsidRPr="00A66D97" w:rsidRDefault="00A66D97" w:rsidP="00A66D97">
      <w:pPr>
        <w:shd w:val="clear" w:color="auto" w:fill="FFFFFF"/>
        <w:bidi/>
        <w:spacing w:after="15" w:line="240" w:lineRule="auto"/>
        <w:rPr>
          <w:rFonts w:asciiTheme="minorBidi" w:eastAsia="Times New Roman" w:hAnsiTheme="minorBidi"/>
          <w:sz w:val="24"/>
          <w:szCs w:val="24"/>
        </w:rPr>
      </w:pPr>
      <w:r w:rsidRPr="00A66D97">
        <w:rPr>
          <w:rFonts w:asciiTheme="minorBidi" w:eastAsia="Times New Roman" w:hAnsiTheme="minorBidi"/>
          <w:b/>
          <w:bCs/>
          <w:sz w:val="24"/>
          <w:szCs w:val="24"/>
          <w:rtl/>
        </w:rPr>
        <w:t>קטע 2</w:t>
      </w:r>
    </w:p>
    <w:p w14:paraId="1C050B59" w14:textId="77777777" w:rsidR="00A66D97" w:rsidRPr="00A66D97" w:rsidRDefault="00A66D97" w:rsidP="00A66D97">
      <w:pPr>
        <w:shd w:val="clear" w:color="auto" w:fill="FFFFFF"/>
        <w:bidi/>
        <w:spacing w:after="15" w:line="240" w:lineRule="auto"/>
        <w:rPr>
          <w:rFonts w:asciiTheme="minorBidi" w:eastAsia="Times New Roman" w:hAnsiTheme="minorBidi"/>
          <w:sz w:val="24"/>
          <w:szCs w:val="24"/>
        </w:rPr>
      </w:pPr>
      <w:proofErr w:type="spellStart"/>
      <w:r w:rsidRPr="00A66D97">
        <w:rPr>
          <w:rFonts w:asciiTheme="minorBidi" w:eastAsia="Times New Roman" w:hAnsiTheme="minorBidi"/>
          <w:sz w:val="24"/>
          <w:szCs w:val="24"/>
          <w:rtl/>
        </w:rPr>
        <w:t>ביידן</w:t>
      </w:r>
      <w:proofErr w:type="spellEnd"/>
      <w:r w:rsidRPr="00A66D97">
        <w:rPr>
          <w:rFonts w:asciiTheme="minorBidi" w:eastAsia="Times New Roman" w:hAnsiTheme="minorBidi"/>
          <w:sz w:val="24"/>
          <w:szCs w:val="24"/>
          <w:rtl/>
        </w:rPr>
        <w:t xml:space="preserve"> מבקש לקדם זכויות אדם במזרח התיכון. בן </w:t>
      </w:r>
      <w:proofErr w:type="spellStart"/>
      <w:r w:rsidRPr="00A66D97">
        <w:rPr>
          <w:rFonts w:asciiTheme="minorBidi" w:eastAsia="Times New Roman" w:hAnsiTheme="minorBidi"/>
          <w:sz w:val="24"/>
          <w:szCs w:val="24"/>
          <w:rtl/>
        </w:rPr>
        <w:t>סלמאן</w:t>
      </w:r>
      <w:proofErr w:type="spellEnd"/>
      <w:r w:rsidRPr="00A66D97">
        <w:rPr>
          <w:rFonts w:asciiTheme="minorBidi" w:eastAsia="Times New Roman" w:hAnsiTheme="minorBidi"/>
          <w:sz w:val="24"/>
          <w:szCs w:val="24"/>
          <w:rtl/>
        </w:rPr>
        <w:t xml:space="preserve">, </w:t>
      </w:r>
      <w:proofErr w:type="spellStart"/>
      <w:r w:rsidRPr="00A66D97">
        <w:rPr>
          <w:rFonts w:asciiTheme="minorBidi" w:eastAsia="Times New Roman" w:hAnsiTheme="minorBidi"/>
          <w:sz w:val="24"/>
          <w:szCs w:val="24"/>
          <w:rtl/>
        </w:rPr>
        <w:t>ארדואן</w:t>
      </w:r>
      <w:proofErr w:type="spellEnd"/>
      <w:r w:rsidRPr="00A66D97">
        <w:rPr>
          <w:rFonts w:asciiTheme="minorBidi" w:eastAsia="Times New Roman" w:hAnsiTheme="minorBidi"/>
          <w:sz w:val="24"/>
          <w:szCs w:val="24"/>
          <w:rtl/>
        </w:rPr>
        <w:t xml:space="preserve"> </w:t>
      </w:r>
      <w:proofErr w:type="spellStart"/>
      <w:r w:rsidRPr="00A66D97">
        <w:rPr>
          <w:rFonts w:asciiTheme="minorBidi" w:eastAsia="Times New Roman" w:hAnsiTheme="minorBidi"/>
          <w:sz w:val="24"/>
          <w:szCs w:val="24"/>
          <w:rtl/>
        </w:rPr>
        <w:t>וא־סיסי</w:t>
      </w:r>
      <w:proofErr w:type="spellEnd"/>
      <w:r w:rsidRPr="00A66D97">
        <w:rPr>
          <w:rFonts w:asciiTheme="minorBidi" w:eastAsia="Times New Roman" w:hAnsiTheme="minorBidi"/>
          <w:sz w:val="24"/>
          <w:szCs w:val="24"/>
          <w:rtl/>
        </w:rPr>
        <w:t xml:space="preserve"> נערכים לרפורמות</w:t>
      </w:r>
    </w:p>
    <w:p w14:paraId="08911C4B" w14:textId="77777777" w:rsidR="00A66D97" w:rsidRPr="00A66D97" w:rsidRDefault="00A66D97" w:rsidP="00A66D97">
      <w:pPr>
        <w:shd w:val="clear" w:color="auto" w:fill="FFFFFF"/>
        <w:bidi/>
        <w:spacing w:after="15" w:line="240" w:lineRule="auto"/>
        <w:rPr>
          <w:rFonts w:asciiTheme="minorBidi" w:eastAsia="Times New Roman" w:hAnsiTheme="minorBidi"/>
          <w:sz w:val="24"/>
          <w:szCs w:val="24"/>
        </w:rPr>
      </w:pPr>
      <w:r w:rsidRPr="00A66D97">
        <w:rPr>
          <w:rFonts w:asciiTheme="minorBidi" w:eastAsia="Times New Roman" w:hAnsiTheme="minorBidi"/>
          <w:sz w:val="24"/>
          <w:szCs w:val="24"/>
          <w:rtl/>
        </w:rPr>
        <w:t xml:space="preserve">דו"ח המודיעין האמריקאי על רצח העיתונאי הסעודי, ג'מאל </w:t>
      </w:r>
      <w:proofErr w:type="spellStart"/>
      <w:r w:rsidRPr="00A66D97">
        <w:rPr>
          <w:rFonts w:asciiTheme="minorBidi" w:eastAsia="Times New Roman" w:hAnsiTheme="minorBidi"/>
          <w:sz w:val="24"/>
          <w:szCs w:val="24"/>
          <w:rtl/>
        </w:rPr>
        <w:t>חאשוקג'י</w:t>
      </w:r>
      <w:proofErr w:type="spellEnd"/>
      <w:r w:rsidRPr="00A66D97">
        <w:rPr>
          <w:rFonts w:asciiTheme="minorBidi" w:eastAsia="Times New Roman" w:hAnsiTheme="minorBidi"/>
          <w:sz w:val="24"/>
          <w:szCs w:val="24"/>
          <w:rtl/>
        </w:rPr>
        <w:t xml:space="preserve">, מפנה אצבע מאשימה אל יורש העצר, מוחמד בן </w:t>
      </w:r>
      <w:proofErr w:type="spellStart"/>
      <w:r w:rsidRPr="00A66D97">
        <w:rPr>
          <w:rFonts w:asciiTheme="minorBidi" w:eastAsia="Times New Roman" w:hAnsiTheme="minorBidi"/>
          <w:sz w:val="24"/>
          <w:szCs w:val="24"/>
          <w:rtl/>
        </w:rPr>
        <w:t>סלמאן</w:t>
      </w:r>
      <w:proofErr w:type="spellEnd"/>
      <w:r w:rsidRPr="00A66D97">
        <w:rPr>
          <w:rFonts w:asciiTheme="minorBidi" w:eastAsia="Times New Roman" w:hAnsiTheme="minorBidi"/>
          <w:sz w:val="24"/>
          <w:szCs w:val="24"/>
          <w:rtl/>
        </w:rPr>
        <w:t xml:space="preserve">. הנשיא ג'ו </w:t>
      </w:r>
      <w:proofErr w:type="spellStart"/>
      <w:r w:rsidRPr="00A66D97">
        <w:rPr>
          <w:rFonts w:asciiTheme="minorBidi" w:eastAsia="Times New Roman" w:hAnsiTheme="minorBidi"/>
          <w:sz w:val="24"/>
          <w:szCs w:val="24"/>
          <w:rtl/>
        </w:rPr>
        <w:t>ביידן</w:t>
      </w:r>
      <w:proofErr w:type="spellEnd"/>
      <w:r w:rsidRPr="00A66D97">
        <w:rPr>
          <w:rFonts w:asciiTheme="minorBidi" w:eastAsia="Times New Roman" w:hAnsiTheme="minorBidi"/>
          <w:sz w:val="24"/>
          <w:szCs w:val="24"/>
          <w:rtl/>
        </w:rPr>
        <w:t xml:space="preserve"> מתכוון "לכייל מחדש" את יחסיו עם ריאד, בעיקר בשל פער התפיסות בין המדינות בסוגיה של זכויות אדם. את הפירוש המעשי של אותו "כיול מחדש" נדע </w:t>
      </w:r>
      <w:proofErr w:type="spellStart"/>
      <w:r w:rsidRPr="00A66D97">
        <w:rPr>
          <w:rFonts w:asciiTheme="minorBidi" w:eastAsia="Times New Roman" w:hAnsiTheme="minorBidi"/>
          <w:sz w:val="24"/>
          <w:szCs w:val="24"/>
          <w:rtl/>
        </w:rPr>
        <w:t>כשביידן</w:t>
      </w:r>
      <w:proofErr w:type="spellEnd"/>
      <w:r w:rsidRPr="00A66D97">
        <w:rPr>
          <w:rFonts w:asciiTheme="minorBidi" w:eastAsia="Times New Roman" w:hAnsiTheme="minorBidi"/>
          <w:sz w:val="24"/>
          <w:szCs w:val="24"/>
          <w:rtl/>
        </w:rPr>
        <w:t xml:space="preserve"> יחליט אם לבצע עסקת נשק עם סעודיה. האם יסכים להיפגש או לשוחח עם השליט בפועל של הממלכה? ומה יעשה כאשר הוא יירש את המלך? יורש העצר מתאמץ לרכך את כובד המהלומה. </w:t>
      </w:r>
      <w:proofErr w:type="spellStart"/>
      <w:r w:rsidRPr="00A66D97">
        <w:rPr>
          <w:rFonts w:asciiTheme="minorBidi" w:eastAsia="Times New Roman" w:hAnsiTheme="minorBidi"/>
          <w:sz w:val="24"/>
          <w:szCs w:val="24"/>
          <w:rtl/>
        </w:rPr>
        <w:t>ביידן</w:t>
      </w:r>
      <w:proofErr w:type="spellEnd"/>
      <w:r w:rsidRPr="00A66D97">
        <w:rPr>
          <w:rFonts w:asciiTheme="minorBidi" w:eastAsia="Times New Roman" w:hAnsiTheme="minorBidi"/>
          <w:sz w:val="24"/>
          <w:szCs w:val="24"/>
          <w:rtl/>
        </w:rPr>
        <w:t xml:space="preserve"> מתעניין בזכויות אדם? בן </w:t>
      </w:r>
      <w:proofErr w:type="spellStart"/>
      <w:r w:rsidRPr="00A66D97">
        <w:rPr>
          <w:rFonts w:asciiTheme="minorBidi" w:eastAsia="Times New Roman" w:hAnsiTheme="minorBidi"/>
          <w:sz w:val="24"/>
          <w:szCs w:val="24"/>
          <w:rtl/>
        </w:rPr>
        <w:t>סלמאן</w:t>
      </w:r>
      <w:proofErr w:type="spellEnd"/>
      <w:r w:rsidRPr="00A66D97">
        <w:rPr>
          <w:rFonts w:asciiTheme="minorBidi" w:eastAsia="Times New Roman" w:hAnsiTheme="minorBidi"/>
          <w:sz w:val="24"/>
          <w:szCs w:val="24"/>
          <w:rtl/>
        </w:rPr>
        <w:t xml:space="preserve"> מיהר להציג חבילת רפורמות חדשות שמטרתן האחדת מערכת הענישה, חקיקה של דיני ראיות, פתרון בעיות של מעמד אישי, שפוגעות בעיקר בנשים, והפיכת החקיקה בנושאי עסקות אזרחיות לשקופות יותר. אם רפורמות אלו ייושמו, זו עשויה להיות מהפכה חוקתית. היורש הצעיר זכה למחמאות כשהתיר לנשים לנהוג וכשהציג את </w:t>
      </w:r>
      <w:proofErr w:type="spellStart"/>
      <w:r w:rsidRPr="00A66D97">
        <w:rPr>
          <w:rFonts w:asciiTheme="minorBidi" w:eastAsia="Times New Roman" w:hAnsiTheme="minorBidi"/>
          <w:sz w:val="24"/>
          <w:szCs w:val="24"/>
          <w:rtl/>
        </w:rPr>
        <w:t>חזון</w:t>
      </w:r>
      <w:proofErr w:type="spellEnd"/>
      <w:r w:rsidRPr="00A66D97">
        <w:rPr>
          <w:rFonts w:asciiTheme="minorBidi" w:eastAsia="Times New Roman" w:hAnsiTheme="minorBidi"/>
          <w:sz w:val="24"/>
          <w:szCs w:val="24"/>
          <w:rtl/>
        </w:rPr>
        <w:t xml:space="preserve"> 2030 שלו. זה כולל קדמה וטכנולוגיה, אך אף מילה על דמוקרטיה ושינוי המשטר. </w:t>
      </w:r>
      <w:proofErr w:type="spellStart"/>
      <w:r w:rsidRPr="00A66D97">
        <w:rPr>
          <w:rFonts w:asciiTheme="minorBidi" w:eastAsia="Times New Roman" w:hAnsiTheme="minorBidi"/>
          <w:sz w:val="24"/>
          <w:szCs w:val="24"/>
          <w:rtl/>
        </w:rPr>
        <w:t>ביידן</w:t>
      </w:r>
      <w:proofErr w:type="spellEnd"/>
      <w:r w:rsidRPr="00A66D97">
        <w:rPr>
          <w:rFonts w:asciiTheme="minorBidi" w:eastAsia="Times New Roman" w:hAnsiTheme="minorBidi"/>
          <w:sz w:val="24"/>
          <w:szCs w:val="24"/>
          <w:rtl/>
        </w:rPr>
        <w:t>, שבמסע הבחירות שלו כינה את סעודיה "מדינה משוקצת", עומד מול לחץ בקונגרס להטיל עליה סנקציות. הוא יצטרך להחליט אם די ברפורמות הללו כדי להעניק לה חנינה מדינית</w:t>
      </w:r>
      <w:r w:rsidRPr="00A66D97">
        <w:rPr>
          <w:rFonts w:asciiTheme="minorBidi" w:eastAsia="Times New Roman" w:hAnsiTheme="minorBidi"/>
          <w:sz w:val="24"/>
          <w:szCs w:val="24"/>
        </w:rPr>
        <w:t>.</w:t>
      </w:r>
    </w:p>
    <w:p w14:paraId="41F71D3F" w14:textId="77777777" w:rsidR="00A66D97" w:rsidRPr="00A66D97" w:rsidRDefault="00A66D97" w:rsidP="00A66D97">
      <w:pPr>
        <w:shd w:val="clear" w:color="auto" w:fill="FFFFFF"/>
        <w:bidi/>
        <w:spacing w:after="15" w:line="240" w:lineRule="auto"/>
        <w:rPr>
          <w:rFonts w:asciiTheme="minorBidi" w:eastAsia="Times New Roman" w:hAnsiTheme="minorBidi"/>
          <w:sz w:val="24"/>
          <w:szCs w:val="24"/>
        </w:rPr>
      </w:pPr>
      <w:r w:rsidRPr="00A66D97">
        <w:rPr>
          <w:rFonts w:asciiTheme="minorBidi" w:eastAsia="Times New Roman" w:hAnsiTheme="minorBidi"/>
          <w:sz w:val="24"/>
          <w:szCs w:val="24"/>
          <w:rtl/>
        </w:rPr>
        <w:t xml:space="preserve">רפורמות הפכו למטבע לשון שמתגלגלת בחדווה גם על לשונם של נשיא טורקיה, </w:t>
      </w:r>
      <w:proofErr w:type="spellStart"/>
      <w:r w:rsidRPr="00A66D97">
        <w:rPr>
          <w:rFonts w:asciiTheme="minorBidi" w:eastAsia="Times New Roman" w:hAnsiTheme="minorBidi"/>
          <w:sz w:val="24"/>
          <w:szCs w:val="24"/>
          <w:rtl/>
        </w:rPr>
        <w:t>ארדואן</w:t>
      </w:r>
      <w:proofErr w:type="spellEnd"/>
      <w:r w:rsidRPr="00A66D97">
        <w:rPr>
          <w:rFonts w:asciiTheme="minorBidi" w:eastAsia="Times New Roman" w:hAnsiTheme="minorBidi"/>
          <w:sz w:val="24"/>
          <w:szCs w:val="24"/>
          <w:rtl/>
        </w:rPr>
        <w:t xml:space="preserve">, ושל נשיא מצרים, </w:t>
      </w:r>
      <w:proofErr w:type="spellStart"/>
      <w:r w:rsidRPr="00A66D97">
        <w:rPr>
          <w:rFonts w:asciiTheme="minorBidi" w:eastAsia="Times New Roman" w:hAnsiTheme="minorBidi"/>
          <w:sz w:val="24"/>
          <w:szCs w:val="24"/>
          <w:rtl/>
        </w:rPr>
        <w:t>א־סיסי</w:t>
      </w:r>
      <w:proofErr w:type="spellEnd"/>
      <w:r w:rsidRPr="00A66D97">
        <w:rPr>
          <w:rFonts w:asciiTheme="minorBidi" w:eastAsia="Times New Roman" w:hAnsiTheme="minorBidi"/>
          <w:sz w:val="24"/>
          <w:szCs w:val="24"/>
          <w:rtl/>
        </w:rPr>
        <w:t xml:space="preserve">. </w:t>
      </w:r>
      <w:proofErr w:type="spellStart"/>
      <w:r w:rsidRPr="00A66D97">
        <w:rPr>
          <w:rFonts w:asciiTheme="minorBidi" w:eastAsia="Times New Roman" w:hAnsiTheme="minorBidi"/>
          <w:sz w:val="24"/>
          <w:szCs w:val="24"/>
          <w:rtl/>
        </w:rPr>
        <w:t>ארדואן</w:t>
      </w:r>
      <w:proofErr w:type="spellEnd"/>
      <w:r w:rsidRPr="00A66D97">
        <w:rPr>
          <w:rFonts w:asciiTheme="minorBidi" w:eastAsia="Times New Roman" w:hAnsiTheme="minorBidi"/>
          <w:sz w:val="24"/>
          <w:szCs w:val="24"/>
          <w:rtl/>
        </w:rPr>
        <w:t xml:space="preserve"> צפוי להציג חבילת רפורמות. הוא הבטיח שהרפורמות יכללו שינויים במעמד זכויות האדם וחופש הביטוי ויבטיחו את עצמאות מערכת המשפט. לאחרונה חתמו 54 סנאטורים על מכתב לנשיא, בדרישה להעניש את </w:t>
      </w:r>
      <w:proofErr w:type="spellStart"/>
      <w:r w:rsidRPr="00A66D97">
        <w:rPr>
          <w:rFonts w:asciiTheme="minorBidi" w:eastAsia="Times New Roman" w:hAnsiTheme="minorBidi"/>
          <w:sz w:val="24"/>
          <w:szCs w:val="24"/>
          <w:rtl/>
        </w:rPr>
        <w:t>ארדואן</w:t>
      </w:r>
      <w:proofErr w:type="spellEnd"/>
      <w:r w:rsidRPr="00A66D97">
        <w:rPr>
          <w:rFonts w:asciiTheme="minorBidi" w:eastAsia="Times New Roman" w:hAnsiTheme="minorBidi"/>
          <w:sz w:val="24"/>
          <w:szCs w:val="24"/>
          <w:rtl/>
        </w:rPr>
        <w:t xml:space="preserve"> על פגיעה בזכויות אדם, התנכלות לאופוזיציה ודריסת חופש הביטוי. גם </w:t>
      </w:r>
      <w:proofErr w:type="spellStart"/>
      <w:r w:rsidRPr="00A66D97">
        <w:rPr>
          <w:rFonts w:asciiTheme="minorBidi" w:eastAsia="Times New Roman" w:hAnsiTheme="minorBidi"/>
          <w:sz w:val="24"/>
          <w:szCs w:val="24"/>
          <w:rtl/>
        </w:rPr>
        <w:t>א־סיסי</w:t>
      </w:r>
      <w:proofErr w:type="spellEnd"/>
      <w:r w:rsidRPr="00A66D97">
        <w:rPr>
          <w:rFonts w:asciiTheme="minorBidi" w:eastAsia="Times New Roman" w:hAnsiTheme="minorBidi"/>
          <w:sz w:val="24"/>
          <w:szCs w:val="24"/>
          <w:rtl/>
        </w:rPr>
        <w:t xml:space="preserve"> מבטיח עתה שורת רפורמות, שנועדו לשפר את מצב זכויות האדם במצרים. אבל </w:t>
      </w:r>
      <w:r w:rsidRPr="00A66D97">
        <w:rPr>
          <w:rFonts w:asciiTheme="minorBidi" w:eastAsia="Times New Roman" w:hAnsiTheme="minorBidi"/>
          <w:sz w:val="24"/>
          <w:szCs w:val="24"/>
          <w:rtl/>
        </w:rPr>
        <w:lastRenderedPageBreak/>
        <w:t xml:space="preserve">הבטחות כאלה בעבר, שלוו גם בחקיקה, לא חוללו שינויים מהותיים. טרנד הרפורמות שמפעים את כלי התקשורת בטורקיה, סעודיה ומצרים, אינו משכנע את הציבור למוד הניסיון המר במדינות אלה. אבל יש בו כדי להעיד על הבהלה שהנושא הרגיש הזה מעורר בקרב שליטים, שהתרגלו לעצימת עיניו של הממשל האמריקאי. במיוחד אחרי כהונתו של דונלד </w:t>
      </w:r>
      <w:proofErr w:type="spellStart"/>
      <w:r w:rsidRPr="00A66D97">
        <w:rPr>
          <w:rFonts w:asciiTheme="minorBidi" w:eastAsia="Times New Roman" w:hAnsiTheme="minorBidi"/>
          <w:sz w:val="24"/>
          <w:szCs w:val="24"/>
          <w:rtl/>
        </w:rPr>
        <w:t>טראמפ</w:t>
      </w:r>
      <w:proofErr w:type="spellEnd"/>
      <w:r w:rsidRPr="00A66D97">
        <w:rPr>
          <w:rFonts w:asciiTheme="minorBidi" w:eastAsia="Times New Roman" w:hAnsiTheme="minorBidi"/>
          <w:sz w:val="24"/>
          <w:szCs w:val="24"/>
          <w:rtl/>
        </w:rPr>
        <w:t xml:space="preserve">, שלא ידע כיצד לאיית את המונח "זכויות אדם". הנשיא </w:t>
      </w:r>
      <w:proofErr w:type="spellStart"/>
      <w:r w:rsidRPr="00A66D97">
        <w:rPr>
          <w:rFonts w:asciiTheme="minorBidi" w:eastAsia="Times New Roman" w:hAnsiTheme="minorBidi"/>
          <w:sz w:val="24"/>
          <w:szCs w:val="24"/>
          <w:rtl/>
        </w:rPr>
        <w:t>ביידן</w:t>
      </w:r>
      <w:proofErr w:type="spellEnd"/>
      <w:r w:rsidRPr="00A66D97">
        <w:rPr>
          <w:rFonts w:asciiTheme="minorBidi" w:eastAsia="Times New Roman" w:hAnsiTheme="minorBidi"/>
          <w:sz w:val="24"/>
          <w:szCs w:val="24"/>
          <w:rtl/>
        </w:rPr>
        <w:t xml:space="preserve"> נראה כמי שמביא עמו בשורה חדשה לפעילי זכויות אדם, אבל מוטב להמתין ולראות עד כמה הוא יהיה מוכן להקריב את האינטרסים האסטרטגיים והמדיניים של ארה"ב למען זכויות האדם במדינות ערביות</w:t>
      </w:r>
      <w:r w:rsidRPr="00A66D97">
        <w:rPr>
          <w:rFonts w:asciiTheme="minorBidi" w:eastAsia="Times New Roman" w:hAnsiTheme="minorBidi"/>
          <w:sz w:val="24"/>
          <w:szCs w:val="24"/>
        </w:rPr>
        <w:t>.</w:t>
      </w:r>
    </w:p>
    <w:p w14:paraId="4029D5F9" w14:textId="6994C889" w:rsidR="00A66D97" w:rsidRDefault="00A66D97" w:rsidP="00A66D97">
      <w:pPr>
        <w:shd w:val="clear" w:color="auto" w:fill="FFFFFF"/>
        <w:bidi/>
        <w:spacing w:after="15" w:line="240" w:lineRule="auto"/>
        <w:rPr>
          <w:rFonts w:asciiTheme="minorBidi" w:eastAsia="Times New Roman" w:hAnsiTheme="minorBidi"/>
          <w:sz w:val="24"/>
          <w:szCs w:val="24"/>
          <w:rtl/>
        </w:rPr>
      </w:pPr>
      <w:r w:rsidRPr="00A66D97">
        <w:rPr>
          <w:rFonts w:asciiTheme="minorBidi" w:eastAsia="Times New Roman" w:hAnsiTheme="minorBidi"/>
          <w:sz w:val="24"/>
          <w:szCs w:val="24"/>
          <w:rtl/>
        </w:rPr>
        <w:t xml:space="preserve">הארץ, צבי </w:t>
      </w:r>
      <w:proofErr w:type="spellStart"/>
      <w:r w:rsidRPr="00A66D97">
        <w:rPr>
          <w:rFonts w:asciiTheme="minorBidi" w:eastAsia="Times New Roman" w:hAnsiTheme="minorBidi"/>
          <w:sz w:val="24"/>
          <w:szCs w:val="24"/>
          <w:rtl/>
        </w:rPr>
        <w:t>בראל</w:t>
      </w:r>
      <w:proofErr w:type="spellEnd"/>
      <w:r w:rsidRPr="00A66D97">
        <w:rPr>
          <w:rFonts w:asciiTheme="minorBidi" w:eastAsia="Times New Roman" w:hAnsiTheme="minorBidi"/>
          <w:sz w:val="24"/>
          <w:szCs w:val="24"/>
          <w:rtl/>
        </w:rPr>
        <w:t>, 26.02.2021 גרסה חלקית</w:t>
      </w:r>
    </w:p>
    <w:p w14:paraId="0BDE105B" w14:textId="61262BB4" w:rsidR="00703F19" w:rsidRDefault="00703F19" w:rsidP="00703F19">
      <w:pPr>
        <w:shd w:val="clear" w:color="auto" w:fill="FFFFFF"/>
        <w:bidi/>
        <w:spacing w:after="15" w:line="240" w:lineRule="auto"/>
        <w:rPr>
          <w:rFonts w:asciiTheme="minorBidi" w:eastAsia="Times New Roman" w:hAnsiTheme="minorBidi"/>
          <w:sz w:val="24"/>
          <w:szCs w:val="24"/>
          <w:rtl/>
        </w:rPr>
      </w:pPr>
    </w:p>
    <w:p w14:paraId="184460EA" w14:textId="46F8D266" w:rsidR="00703F19" w:rsidRPr="00E33BF7" w:rsidRDefault="00703F19" w:rsidP="00E33BF7">
      <w:pPr>
        <w:pStyle w:val="a3"/>
        <w:numPr>
          <w:ilvl w:val="0"/>
          <w:numId w:val="2"/>
        </w:numPr>
        <w:bidi/>
        <w:spacing w:line="276" w:lineRule="auto"/>
        <w:ind w:left="360"/>
        <w:jc w:val="both"/>
      </w:pPr>
      <w:r w:rsidRPr="00703F19">
        <w:rPr>
          <w:rFonts w:ascii="Arial" w:hAnsi="Arial"/>
          <w:rtl/>
        </w:rPr>
        <w:t xml:space="preserve">ארצות הברית רואה את עצמה כ"לפיד החירות וזכויות האדם" העולמי. במה, ועד כמה נותנת ארצות הברית ביטוי ממשי לדימוי זה? התייחסו הן למדיניות הפנים והן למדיניות החוץ שלה. </w:t>
      </w:r>
      <w:r w:rsidRPr="00703F19">
        <w:rPr>
          <w:b/>
          <w:bCs/>
          <w:rtl/>
        </w:rPr>
        <w:t> </w:t>
      </w:r>
    </w:p>
    <w:p w14:paraId="52AC69E5" w14:textId="38ED1A41" w:rsidR="00E33BF7" w:rsidRPr="00E33BF7" w:rsidRDefault="00E33BF7" w:rsidP="00E33BF7">
      <w:pPr>
        <w:pStyle w:val="a3"/>
        <w:numPr>
          <w:ilvl w:val="0"/>
          <w:numId w:val="2"/>
        </w:numPr>
        <w:bidi/>
        <w:spacing w:line="276" w:lineRule="auto"/>
        <w:ind w:left="360"/>
        <w:jc w:val="both"/>
      </w:pPr>
      <w:r>
        <w:rPr>
          <w:rFonts w:ascii="Arial" w:hAnsi="Arial"/>
          <w:kern w:val="36"/>
          <w:sz w:val="24"/>
          <w:rtl/>
        </w:rPr>
        <w:t xml:space="preserve">הסבירו מהי יחסיות תרבותית. מהן תרומותיה לקידום זכויות אדם, ואילו סכנות אורבות לזכויות אדם בגישה זו?   </w:t>
      </w:r>
    </w:p>
    <w:p w14:paraId="686D060A" w14:textId="77777777" w:rsidR="00E33BF7" w:rsidRDefault="00E33BF7" w:rsidP="00E33BF7">
      <w:pPr>
        <w:pStyle w:val="a3"/>
        <w:numPr>
          <w:ilvl w:val="0"/>
          <w:numId w:val="2"/>
        </w:numPr>
        <w:bidi/>
        <w:spacing w:line="276" w:lineRule="auto"/>
        <w:ind w:left="360"/>
        <w:jc w:val="both"/>
      </w:pPr>
      <w:r>
        <w:rPr>
          <w:rtl/>
        </w:rPr>
        <w:t xml:space="preserve">מדוע במחצית </w:t>
      </w:r>
      <w:proofErr w:type="spellStart"/>
      <w:r>
        <w:rPr>
          <w:rtl/>
        </w:rPr>
        <w:t>השניה</w:t>
      </w:r>
      <w:proofErr w:type="spellEnd"/>
      <w:r>
        <w:rPr>
          <w:rtl/>
        </w:rPr>
        <w:t xml:space="preserve"> של המאה ה-20 צברו זכויות האדם עוצמה נורמטיבית ביחסים הבין-לאומיים, אך נותרו חלשות בכל הקשור לפיקוח, יישום ואכיפה?</w:t>
      </w:r>
    </w:p>
    <w:p w14:paraId="7B151091" w14:textId="4C4B501C" w:rsidR="00E33BF7" w:rsidRDefault="00E33BF7" w:rsidP="00E33BF7">
      <w:pPr>
        <w:pStyle w:val="a3"/>
        <w:numPr>
          <w:ilvl w:val="0"/>
          <w:numId w:val="2"/>
        </w:numPr>
        <w:bidi/>
        <w:spacing w:line="276" w:lineRule="auto"/>
        <w:ind w:left="360"/>
        <w:jc w:val="both"/>
      </w:pPr>
      <w:r>
        <w:rPr>
          <w:rtl/>
        </w:rPr>
        <w:t>מהם הקשיים הניצבים בפני הניסיון לעבור ממשטר בין-לאומי הצהרתי ומשטר בין-לאומי מקדם של זכויות אדם, למשטר ממשטר בין-לאומי מיישם ואוכף של זכויות אדם?</w:t>
      </w:r>
    </w:p>
    <w:p w14:paraId="004D19B1" w14:textId="730775EC" w:rsidR="000B6A00" w:rsidRDefault="000B6A00" w:rsidP="000B6A00">
      <w:pPr>
        <w:pStyle w:val="a3"/>
        <w:numPr>
          <w:ilvl w:val="0"/>
          <w:numId w:val="2"/>
        </w:numPr>
        <w:bidi/>
        <w:spacing w:line="276" w:lineRule="auto"/>
        <w:ind w:left="360"/>
        <w:jc w:val="both"/>
      </w:pPr>
      <w:r>
        <w:rPr>
          <w:rtl/>
        </w:rPr>
        <w:t>הסבירו את הצורך בגיבוש הגדרות אוניברסליות של זכויות אדם, ואת הקשיים הכרוכים בכך.</w:t>
      </w:r>
    </w:p>
    <w:p w14:paraId="0043D773" w14:textId="5E56BA14" w:rsidR="009D1965" w:rsidRDefault="009D1965" w:rsidP="009D1965">
      <w:pPr>
        <w:pStyle w:val="a3"/>
        <w:numPr>
          <w:ilvl w:val="0"/>
          <w:numId w:val="2"/>
        </w:numPr>
        <w:bidi/>
        <w:spacing w:line="276" w:lineRule="auto"/>
        <w:ind w:left="360"/>
        <w:jc w:val="both"/>
      </w:pPr>
      <w:r>
        <w:rPr>
          <w:rtl/>
        </w:rPr>
        <w:t>עד כמה מדינות הן מכשיר הכרחי למימוש זכויות אדם, או בלם בקידומן?</w:t>
      </w:r>
    </w:p>
    <w:p w14:paraId="1E0284A3" w14:textId="77777777" w:rsidR="00A66D97" w:rsidRPr="00A66D97" w:rsidRDefault="00A66D97" w:rsidP="00A66D97">
      <w:pPr>
        <w:shd w:val="clear" w:color="auto" w:fill="FFFFFF"/>
        <w:bidi/>
        <w:spacing w:after="15" w:line="240" w:lineRule="auto"/>
        <w:rPr>
          <w:rFonts w:asciiTheme="minorBidi" w:eastAsia="Times New Roman" w:hAnsiTheme="minorBidi"/>
          <w:sz w:val="24"/>
          <w:szCs w:val="24"/>
        </w:rPr>
      </w:pPr>
      <w:r w:rsidRPr="00A66D97">
        <w:rPr>
          <w:rFonts w:asciiTheme="minorBidi" w:eastAsia="Times New Roman" w:hAnsiTheme="minorBidi"/>
          <w:b/>
          <w:bCs/>
          <w:sz w:val="24"/>
          <w:szCs w:val="24"/>
          <w:rtl/>
        </w:rPr>
        <w:t>קטע 3</w:t>
      </w:r>
    </w:p>
    <w:p w14:paraId="61A71450" w14:textId="77777777" w:rsidR="00A66D97" w:rsidRPr="00A66D97" w:rsidRDefault="00A66D97" w:rsidP="00A66D97">
      <w:pPr>
        <w:shd w:val="clear" w:color="auto" w:fill="FFFFFF"/>
        <w:bidi/>
        <w:spacing w:after="15" w:line="240" w:lineRule="auto"/>
        <w:rPr>
          <w:rFonts w:asciiTheme="minorBidi" w:eastAsia="Times New Roman" w:hAnsiTheme="minorBidi"/>
          <w:sz w:val="24"/>
          <w:szCs w:val="24"/>
        </w:rPr>
      </w:pPr>
      <w:r w:rsidRPr="00A66D97">
        <w:rPr>
          <w:rFonts w:asciiTheme="minorBidi" w:eastAsia="Times New Roman" w:hAnsiTheme="minorBidi"/>
          <w:sz w:val="24"/>
          <w:szCs w:val="24"/>
          <w:rtl/>
        </w:rPr>
        <w:t>הדרך למאבק במגפה הבאה עוברת במיגור הגזענות</w:t>
      </w:r>
    </w:p>
    <w:p w14:paraId="61C33C9E" w14:textId="77777777" w:rsidR="00A66D97" w:rsidRPr="00A66D97" w:rsidRDefault="00A66D97" w:rsidP="00A66D97">
      <w:pPr>
        <w:shd w:val="clear" w:color="auto" w:fill="FFFFFF"/>
        <w:bidi/>
        <w:spacing w:after="15" w:line="240" w:lineRule="auto"/>
        <w:rPr>
          <w:rFonts w:asciiTheme="minorBidi" w:eastAsia="Times New Roman" w:hAnsiTheme="minorBidi"/>
          <w:sz w:val="24"/>
          <w:szCs w:val="24"/>
        </w:rPr>
      </w:pPr>
      <w:r w:rsidRPr="00A66D97">
        <w:rPr>
          <w:rFonts w:asciiTheme="minorBidi" w:eastAsia="Times New Roman" w:hAnsiTheme="minorBidi"/>
          <w:sz w:val="24"/>
          <w:szCs w:val="24"/>
        </w:rPr>
        <w:t>"</w:t>
      </w:r>
      <w:r w:rsidRPr="00A66D97">
        <w:rPr>
          <w:rFonts w:asciiTheme="minorBidi" w:eastAsia="Times New Roman" w:hAnsiTheme="minorBidi"/>
          <w:sz w:val="24"/>
          <w:szCs w:val="24"/>
          <w:rtl/>
        </w:rPr>
        <w:t xml:space="preserve">הקורונה לא מבדילה בין דם לדם. אמירה זו, שנדמית מובנת מאליה, נשמעה בשנה האחרונה שוב ושוב ביחס לצורך בסולידריות חברתית ובאכיפה שוויונית של ההנחיות. אך אמירה זו רחוקה מלהיות מדויקת. הקורונה עצמה באמת לא יכולה להבחין בין אדם אחד לאחר, אך המבנה החברתי - ובתוכו מבנה </w:t>
      </w:r>
      <w:r w:rsidRPr="00A66D97">
        <w:rPr>
          <w:rFonts w:asciiTheme="minorBidi" w:eastAsia="Times New Roman" w:hAnsiTheme="minorBidi"/>
          <w:b/>
          <w:bCs/>
          <w:sz w:val="24"/>
          <w:szCs w:val="24"/>
          <w:rtl/>
        </w:rPr>
        <w:t>מערכת הבריאות</w:t>
      </w:r>
      <w:r w:rsidRPr="00A66D97">
        <w:rPr>
          <w:rFonts w:asciiTheme="minorBidi" w:eastAsia="Times New Roman" w:hAnsiTheme="minorBidi"/>
          <w:sz w:val="24"/>
          <w:szCs w:val="24"/>
          <w:rtl/>
        </w:rPr>
        <w:t xml:space="preserve"> - הוא גורם מכריע בשאלה היכן מגפה מכה חזק יותר. למשל, שיעור גבוה יותר של שחורים בארה"ב נפגע במגפה הנוכחית. הקורונה משקפת את החברה ואת יחסי הכוח בתוכה. מחקרים רבים שניתחו את הגזענות המבנית בארה"ב, מצאו כי שחורים נמצאים בסיכון גבוה יותר להידבק בקורונה ולסבול ממחלה חמורה</w:t>
      </w:r>
      <w:r w:rsidRPr="00A66D97">
        <w:rPr>
          <w:rFonts w:asciiTheme="minorBidi" w:eastAsia="Times New Roman" w:hAnsiTheme="minorBidi"/>
          <w:sz w:val="24"/>
          <w:szCs w:val="24"/>
        </w:rPr>
        <w:t>.</w:t>
      </w:r>
    </w:p>
    <w:p w14:paraId="19F96765" w14:textId="77777777" w:rsidR="00A66D97" w:rsidRPr="00A66D97" w:rsidRDefault="00A66D97" w:rsidP="00A66D97">
      <w:pPr>
        <w:shd w:val="clear" w:color="auto" w:fill="FFFFFF"/>
        <w:bidi/>
        <w:spacing w:after="15" w:line="240" w:lineRule="auto"/>
        <w:rPr>
          <w:rFonts w:asciiTheme="minorBidi" w:eastAsia="Times New Roman" w:hAnsiTheme="minorBidi"/>
          <w:sz w:val="24"/>
          <w:szCs w:val="24"/>
        </w:rPr>
      </w:pPr>
      <w:r w:rsidRPr="00A66D97">
        <w:rPr>
          <w:rFonts w:asciiTheme="minorBidi" w:eastAsia="Times New Roman" w:hAnsiTheme="minorBidi"/>
          <w:sz w:val="24"/>
          <w:szCs w:val="24"/>
          <w:rtl/>
        </w:rPr>
        <w:t xml:space="preserve">אי-השוויון מתבטא גם </w:t>
      </w:r>
      <w:r w:rsidRPr="00A66D97">
        <w:rPr>
          <w:rFonts w:asciiTheme="minorBidi" w:eastAsia="Times New Roman" w:hAnsiTheme="minorBidi"/>
          <w:b/>
          <w:bCs/>
          <w:sz w:val="24"/>
          <w:szCs w:val="24"/>
          <w:rtl/>
        </w:rPr>
        <w:t>במשאבים המוקצים למערך הבריאות של מיעוטים כמו שחורים לעומת לבנים</w:t>
      </w:r>
      <w:r w:rsidRPr="00A66D97">
        <w:rPr>
          <w:rFonts w:asciiTheme="minorBidi" w:eastAsia="Times New Roman" w:hAnsiTheme="minorBidi"/>
          <w:sz w:val="24"/>
          <w:szCs w:val="24"/>
          <w:rtl/>
        </w:rPr>
        <w:t>. לא מדובר בביטויי גזענות של יחידים, אלא במבנה המערכת שפוגע בהקצאת משאבי בריאות, כמו מיטות אשפוז לנפש וכוח אדם רפואי. בעיות מבניות אלו הביאו לכך שבאחת המדינות העשירות בעולם מתו יותר מחצי מיליון אנשים, כחמישית מכלל המתים בעולם. אי-שוויון זה גם מוביל מיעוטים לסרב לבטוח בשלטונות ובממסד הרפואי שממליץ להן להתחסן נגד הקורונה, כך שהם פחות ילכו להתחסן לעומת לבנים</w:t>
      </w:r>
      <w:r w:rsidRPr="00A66D97">
        <w:rPr>
          <w:rFonts w:asciiTheme="minorBidi" w:eastAsia="Times New Roman" w:hAnsiTheme="minorBidi"/>
          <w:sz w:val="24"/>
          <w:szCs w:val="24"/>
        </w:rPr>
        <w:t>.</w:t>
      </w:r>
    </w:p>
    <w:p w14:paraId="10005A0C" w14:textId="77777777" w:rsidR="00A66D97" w:rsidRPr="00A66D97" w:rsidRDefault="00A66D97" w:rsidP="00A66D97">
      <w:pPr>
        <w:shd w:val="clear" w:color="auto" w:fill="FFFFFF"/>
        <w:bidi/>
        <w:spacing w:after="15" w:line="240" w:lineRule="auto"/>
        <w:rPr>
          <w:rFonts w:asciiTheme="minorBidi" w:eastAsia="Times New Roman" w:hAnsiTheme="minorBidi"/>
          <w:sz w:val="24"/>
          <w:szCs w:val="24"/>
        </w:rPr>
      </w:pPr>
      <w:r w:rsidRPr="00A66D97">
        <w:rPr>
          <w:rFonts w:asciiTheme="minorBidi" w:eastAsia="Times New Roman" w:hAnsiTheme="minorBidi"/>
          <w:sz w:val="24"/>
          <w:szCs w:val="24"/>
          <w:rtl/>
        </w:rPr>
        <w:t>בישראל המצב יותר טוב כי קיימת מערכת בריאות ציבורית ורשת הגנה חברתית חזקה יותר, אך גם בה יש גזענות מבנית. אחוז המשפחות החיות מתחת לקו העוני גדול יותר בחברה הערבית בהשוואה לחברה היהודית. התעסוקה והשכר הממוצע נמוכים יותר בחברה הערבית, והחינוך מביא לתוצאות פחות טובות בה. פערים מבניים אלו באים לידי ביטוי גם בבריאות. למרות שחוק ביטוח בריאות ממלכתי המבוסס על עקרונות של צדק, שוויון ועזרה הדדית, ולמרות המודעות הגוברת לנושא הפערים בבריאות בישראל, תוחלת החיים של גבר ערבי נמוכה ב-5.3 שנים לעומת גבר יהודי, והפער גדל ל-5.4 בנשים</w:t>
      </w:r>
      <w:r w:rsidRPr="00A66D97">
        <w:rPr>
          <w:rFonts w:asciiTheme="minorBidi" w:eastAsia="Times New Roman" w:hAnsiTheme="minorBidi"/>
          <w:sz w:val="24"/>
          <w:szCs w:val="24"/>
        </w:rPr>
        <w:t>.</w:t>
      </w:r>
    </w:p>
    <w:p w14:paraId="788B355B" w14:textId="77777777" w:rsidR="00A66D97" w:rsidRPr="00A66D97" w:rsidRDefault="00A66D97" w:rsidP="00A66D97">
      <w:pPr>
        <w:shd w:val="clear" w:color="auto" w:fill="FFFFFF"/>
        <w:bidi/>
        <w:spacing w:after="15" w:line="240" w:lineRule="auto"/>
        <w:rPr>
          <w:rFonts w:asciiTheme="minorBidi" w:eastAsia="Times New Roman" w:hAnsiTheme="minorBidi"/>
          <w:sz w:val="24"/>
          <w:szCs w:val="24"/>
        </w:rPr>
      </w:pPr>
      <w:r w:rsidRPr="00A66D97">
        <w:rPr>
          <w:rFonts w:asciiTheme="minorBidi" w:eastAsia="Times New Roman" w:hAnsiTheme="minorBidi"/>
          <w:sz w:val="24"/>
          <w:szCs w:val="24"/>
          <w:rtl/>
        </w:rPr>
        <w:t>הדגש אינו על השאלה אם מקבלי ההחלטות ופקידי הממשלה מחזיקים בדעות קדומות, אלא על כך שהגזענות המבנית בישראל משפיעה על נתוני התחלואה הגבוהים ועל אחוזי התחסנות נמוכים בקרב קבוצות מיעוט. הגזענות לא חייבת להיות מודעת או מפורשת. אם אנו רוצים לצאת ממשבר הקורונה מחוזקים, ולהתחיל להתכונן כבר למגפה הבאה, עלינו להוקיע את הגזענות המבנית מתוכנו. גזענות זו עשויה להיות בלתי מודעת, אך הכרחי לצאת נגדה באופן מודע</w:t>
      </w:r>
      <w:r w:rsidRPr="00A66D97">
        <w:rPr>
          <w:rFonts w:asciiTheme="minorBidi" w:eastAsia="Times New Roman" w:hAnsiTheme="minorBidi"/>
          <w:sz w:val="24"/>
          <w:szCs w:val="24"/>
        </w:rPr>
        <w:t>."</w:t>
      </w:r>
    </w:p>
    <w:p w14:paraId="0F8ACA57" w14:textId="402D8CF9" w:rsidR="00A66D97" w:rsidRDefault="00A66D97" w:rsidP="00A66D97">
      <w:pPr>
        <w:shd w:val="clear" w:color="auto" w:fill="FFFFFF"/>
        <w:bidi/>
        <w:spacing w:after="15" w:line="240" w:lineRule="auto"/>
        <w:rPr>
          <w:rFonts w:asciiTheme="minorBidi" w:eastAsia="Times New Roman" w:hAnsiTheme="minorBidi"/>
          <w:sz w:val="24"/>
          <w:szCs w:val="24"/>
          <w:rtl/>
        </w:rPr>
      </w:pPr>
      <w:r w:rsidRPr="00A66D97">
        <w:rPr>
          <w:rFonts w:asciiTheme="minorBidi" w:eastAsia="Times New Roman" w:hAnsiTheme="minorBidi"/>
          <w:sz w:val="24"/>
          <w:szCs w:val="24"/>
          <w:rtl/>
        </w:rPr>
        <w:lastRenderedPageBreak/>
        <w:t xml:space="preserve">ד"ר זוהר </w:t>
      </w:r>
      <w:proofErr w:type="spellStart"/>
      <w:r w:rsidRPr="00A66D97">
        <w:rPr>
          <w:rFonts w:asciiTheme="minorBidi" w:eastAsia="Times New Roman" w:hAnsiTheme="minorBidi"/>
          <w:sz w:val="24"/>
          <w:szCs w:val="24"/>
          <w:rtl/>
        </w:rPr>
        <w:t>לדרמן</w:t>
      </w:r>
      <w:proofErr w:type="spellEnd"/>
      <w:r w:rsidRPr="00A66D97">
        <w:rPr>
          <w:rFonts w:asciiTheme="minorBidi" w:eastAsia="Times New Roman" w:hAnsiTheme="minorBidi"/>
          <w:sz w:val="24"/>
          <w:szCs w:val="24"/>
          <w:rtl/>
        </w:rPr>
        <w:t xml:space="preserve"> ופרופ' נדב </w:t>
      </w:r>
      <w:proofErr w:type="spellStart"/>
      <w:r w:rsidRPr="00A66D97">
        <w:rPr>
          <w:rFonts w:asciiTheme="minorBidi" w:eastAsia="Times New Roman" w:hAnsiTheme="minorBidi"/>
          <w:sz w:val="24"/>
          <w:szCs w:val="24"/>
          <w:rtl/>
        </w:rPr>
        <w:t>דוידוביץ</w:t>
      </w:r>
      <w:proofErr w:type="spellEnd"/>
      <w:r w:rsidRPr="00A66D97">
        <w:rPr>
          <w:rFonts w:asciiTheme="minorBidi" w:eastAsia="Times New Roman" w:hAnsiTheme="minorBidi"/>
          <w:sz w:val="24"/>
          <w:szCs w:val="24"/>
          <w:rtl/>
        </w:rPr>
        <w:t>', הארץ, 16.3.21 גרסה חלקית</w:t>
      </w:r>
    </w:p>
    <w:p w14:paraId="2E860207" w14:textId="66088AA7" w:rsidR="009D1965" w:rsidRDefault="009D1965" w:rsidP="009D1965">
      <w:pPr>
        <w:shd w:val="clear" w:color="auto" w:fill="FFFFFF"/>
        <w:bidi/>
        <w:spacing w:after="15" w:line="240" w:lineRule="auto"/>
        <w:rPr>
          <w:rFonts w:asciiTheme="minorBidi" w:eastAsia="Times New Roman" w:hAnsiTheme="minorBidi"/>
          <w:sz w:val="24"/>
          <w:szCs w:val="24"/>
          <w:rtl/>
        </w:rPr>
      </w:pPr>
    </w:p>
    <w:p w14:paraId="408EFF70" w14:textId="77777777" w:rsidR="009D1965" w:rsidRDefault="009D1965" w:rsidP="009D1965">
      <w:pPr>
        <w:pStyle w:val="a3"/>
        <w:numPr>
          <w:ilvl w:val="0"/>
          <w:numId w:val="5"/>
        </w:numPr>
        <w:bidi/>
        <w:spacing w:line="276" w:lineRule="auto"/>
        <w:ind w:left="360"/>
        <w:jc w:val="both"/>
      </w:pPr>
      <w:r>
        <w:rPr>
          <w:rtl/>
        </w:rPr>
        <w:t xml:space="preserve">מהן שתי הגישות הבסיסיות בחקר היחסים הבין-לאומיים (הגישה הריאליסטית והגישה האידיאליסטית/ליברלית), ומהו </w:t>
      </w:r>
      <w:proofErr w:type="spellStart"/>
      <w:r>
        <w:rPr>
          <w:rtl/>
        </w:rPr>
        <w:t>הויכוח</w:t>
      </w:r>
      <w:proofErr w:type="spellEnd"/>
      <w:r>
        <w:rPr>
          <w:rtl/>
        </w:rPr>
        <w:t xml:space="preserve"> ביניהן ביחס למקומן של זכויות האדם ביחב"ל? השוו בין הנימוקים של גישות אלה ביחס לצורך להגן על זכויות האדם.  </w:t>
      </w:r>
    </w:p>
    <w:p w14:paraId="70BC06C6" w14:textId="3F7D5D4E" w:rsidR="009D1965" w:rsidRPr="009D1965" w:rsidRDefault="009D1965" w:rsidP="009D1965">
      <w:pPr>
        <w:pStyle w:val="a3"/>
        <w:numPr>
          <w:ilvl w:val="0"/>
          <w:numId w:val="5"/>
        </w:numPr>
        <w:shd w:val="clear" w:color="auto" w:fill="FFFFFF"/>
        <w:bidi/>
        <w:spacing w:after="15" w:line="240" w:lineRule="auto"/>
        <w:ind w:left="360"/>
        <w:rPr>
          <w:rFonts w:asciiTheme="minorBidi" w:eastAsia="Times New Roman" w:hAnsiTheme="minorBidi"/>
          <w:sz w:val="24"/>
          <w:szCs w:val="24"/>
        </w:rPr>
      </w:pPr>
      <w:r>
        <w:rPr>
          <w:rtl/>
        </w:rPr>
        <w:t xml:space="preserve">מה חשיבותן של אמנות  בינלאומיות בקידום זכויות אדם ומהן מגבלותיהן? בססו תשובתכם על אמנה לפי בחירתכם.  </w:t>
      </w:r>
    </w:p>
    <w:p w14:paraId="47715F77" w14:textId="5033165A" w:rsidR="009D1965" w:rsidRPr="009D1965" w:rsidRDefault="009D1965" w:rsidP="009D1965">
      <w:pPr>
        <w:pStyle w:val="a3"/>
        <w:numPr>
          <w:ilvl w:val="0"/>
          <w:numId w:val="5"/>
        </w:numPr>
        <w:shd w:val="clear" w:color="auto" w:fill="FFFFFF"/>
        <w:bidi/>
        <w:spacing w:after="15" w:line="240" w:lineRule="auto"/>
        <w:ind w:left="360"/>
        <w:rPr>
          <w:rFonts w:asciiTheme="minorBidi" w:eastAsia="Times New Roman" w:hAnsiTheme="minorBidi"/>
          <w:sz w:val="24"/>
          <w:szCs w:val="24"/>
        </w:rPr>
      </w:pPr>
      <w:r>
        <w:rPr>
          <w:rtl/>
        </w:rPr>
        <w:t>מהם היתרונות והחסרונות של מדינות וארגונים בין-ממשלתיים בקידום זכויות האדם בהשוואה לארגוני זכויות אדם לא ממשלתיים?</w:t>
      </w:r>
    </w:p>
    <w:p w14:paraId="52ED4805" w14:textId="3352946D" w:rsidR="009D1965" w:rsidRPr="009D1965" w:rsidRDefault="009D1965" w:rsidP="009D1965">
      <w:pPr>
        <w:pStyle w:val="a3"/>
        <w:numPr>
          <w:ilvl w:val="0"/>
          <w:numId w:val="5"/>
        </w:numPr>
        <w:shd w:val="clear" w:color="auto" w:fill="FFFFFF"/>
        <w:bidi/>
        <w:spacing w:after="15" w:line="240" w:lineRule="auto"/>
        <w:ind w:left="360"/>
        <w:rPr>
          <w:rFonts w:asciiTheme="minorBidi" w:eastAsia="Times New Roman" w:hAnsiTheme="minorBidi"/>
          <w:sz w:val="24"/>
          <w:szCs w:val="24"/>
        </w:rPr>
      </w:pPr>
      <w:r>
        <w:rPr>
          <w:rtl/>
        </w:rPr>
        <w:t>הסבירו את הטענה כי כבר הגדרתה של ישראל כמדינה יהודית ודמוקרטית משקפת מתח מנקודת מבט של זכויות האדם. תנו דוגמאות מהנושאים הבאים: נישואין/גירושין, חינוך, דיור ותעסוקה.</w:t>
      </w:r>
    </w:p>
    <w:p w14:paraId="5A811CD5" w14:textId="77777777" w:rsidR="00A66D97" w:rsidRPr="00A66D97" w:rsidRDefault="00A66D97" w:rsidP="00A66D97">
      <w:pPr>
        <w:shd w:val="clear" w:color="auto" w:fill="FFFFFF"/>
        <w:bidi/>
        <w:spacing w:after="15" w:line="240" w:lineRule="auto"/>
        <w:rPr>
          <w:rFonts w:asciiTheme="minorBidi" w:eastAsia="Times New Roman" w:hAnsiTheme="minorBidi"/>
          <w:sz w:val="24"/>
          <w:szCs w:val="24"/>
        </w:rPr>
      </w:pPr>
    </w:p>
    <w:p w14:paraId="263BFE2F" w14:textId="77777777" w:rsidR="00A66D97" w:rsidRPr="00A66D97" w:rsidRDefault="00A66D97" w:rsidP="00A66D97">
      <w:pPr>
        <w:shd w:val="clear" w:color="auto" w:fill="FFFFFF"/>
        <w:bidi/>
        <w:spacing w:line="240" w:lineRule="auto"/>
        <w:rPr>
          <w:rFonts w:asciiTheme="minorBidi" w:eastAsia="Times New Roman" w:hAnsiTheme="minorBidi"/>
          <w:sz w:val="24"/>
          <w:szCs w:val="24"/>
        </w:rPr>
      </w:pPr>
      <w:r w:rsidRPr="00A66D97">
        <w:rPr>
          <w:rFonts w:asciiTheme="minorBidi" w:eastAsia="Times New Roman" w:hAnsiTheme="minorBidi"/>
          <w:sz w:val="24"/>
          <w:szCs w:val="24"/>
          <w:rtl/>
        </w:rPr>
        <w:t>ד</w:t>
      </w:r>
      <w:r w:rsidRPr="00A66D97">
        <w:rPr>
          <w:rFonts w:asciiTheme="minorBidi" w:eastAsia="Times New Roman" w:hAnsiTheme="minorBidi"/>
          <w:sz w:val="24"/>
          <w:szCs w:val="24"/>
        </w:rPr>
        <w:t>"</w:t>
      </w:r>
      <w:r w:rsidRPr="00A66D97">
        <w:rPr>
          <w:rFonts w:asciiTheme="minorBidi" w:eastAsia="Times New Roman" w:hAnsiTheme="minorBidi"/>
          <w:sz w:val="24"/>
          <w:szCs w:val="24"/>
          <w:rtl/>
        </w:rPr>
        <w:t xml:space="preserve">ר זוהר </w:t>
      </w:r>
      <w:proofErr w:type="spellStart"/>
      <w:r w:rsidRPr="00A66D97">
        <w:rPr>
          <w:rFonts w:asciiTheme="minorBidi" w:eastAsia="Times New Roman" w:hAnsiTheme="minorBidi"/>
          <w:sz w:val="24"/>
          <w:szCs w:val="24"/>
          <w:rtl/>
        </w:rPr>
        <w:t>לדרמן</w:t>
      </w:r>
      <w:proofErr w:type="spellEnd"/>
      <w:r w:rsidRPr="00A66D97">
        <w:rPr>
          <w:rFonts w:asciiTheme="minorBidi" w:eastAsia="Times New Roman" w:hAnsiTheme="minorBidi"/>
          <w:sz w:val="24"/>
          <w:szCs w:val="24"/>
          <w:rtl/>
        </w:rPr>
        <w:t xml:space="preserve"> הוא </w:t>
      </w:r>
      <w:proofErr w:type="spellStart"/>
      <w:r w:rsidRPr="00A66D97">
        <w:rPr>
          <w:rFonts w:asciiTheme="minorBidi" w:eastAsia="Times New Roman" w:hAnsiTheme="minorBidi"/>
          <w:sz w:val="24"/>
          <w:szCs w:val="24"/>
          <w:rtl/>
        </w:rPr>
        <w:t>ביואתיקאי</w:t>
      </w:r>
      <w:proofErr w:type="spellEnd"/>
      <w:r w:rsidRPr="00A66D97">
        <w:rPr>
          <w:rFonts w:asciiTheme="minorBidi" w:eastAsia="Times New Roman" w:hAnsiTheme="minorBidi"/>
          <w:sz w:val="24"/>
          <w:szCs w:val="24"/>
          <w:rtl/>
        </w:rPr>
        <w:t xml:space="preserve"> מהיחידה לאתיקה רפואית והומניות ברפואה, פרופ' נדב דוידוביץ' הוא ראש בית הספר לבריאות הציבור ויו"ר איגוד רופאי בריאות הציבור בישראל</w:t>
      </w:r>
      <w:r w:rsidRPr="00A66D97">
        <w:rPr>
          <w:rFonts w:asciiTheme="minorBidi" w:eastAsia="Times New Roman" w:hAnsiTheme="minorBidi"/>
          <w:sz w:val="24"/>
          <w:szCs w:val="24"/>
        </w:rPr>
        <w:t>.</w:t>
      </w:r>
    </w:p>
    <w:p w14:paraId="76D49F2B" w14:textId="77777777" w:rsidR="002A282B" w:rsidRPr="00A66D97" w:rsidRDefault="002A282B" w:rsidP="00A66D97">
      <w:pPr>
        <w:bidi/>
        <w:rPr>
          <w:rFonts w:asciiTheme="minorBidi" w:hAnsiTheme="minorBidi"/>
        </w:rPr>
      </w:pPr>
    </w:p>
    <w:sectPr w:rsidR="002A282B" w:rsidRPr="00A66D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4246"/>
    <w:multiLevelType w:val="hybridMultilevel"/>
    <w:tmpl w:val="6CC2AE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477F89"/>
    <w:multiLevelType w:val="hybridMultilevel"/>
    <w:tmpl w:val="E2043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3062A"/>
    <w:multiLevelType w:val="hybridMultilevel"/>
    <w:tmpl w:val="504A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8D4FA1"/>
    <w:multiLevelType w:val="hybridMultilevel"/>
    <w:tmpl w:val="46605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3347D7"/>
    <w:multiLevelType w:val="hybridMultilevel"/>
    <w:tmpl w:val="C254A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C35A09"/>
    <w:multiLevelType w:val="hybridMultilevel"/>
    <w:tmpl w:val="BA3077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D97"/>
    <w:rsid w:val="000B6A00"/>
    <w:rsid w:val="002A282B"/>
    <w:rsid w:val="00450847"/>
    <w:rsid w:val="00703F19"/>
    <w:rsid w:val="009D1965"/>
    <w:rsid w:val="00A66D97"/>
    <w:rsid w:val="00CF10FF"/>
    <w:rsid w:val="00D30430"/>
    <w:rsid w:val="00E33BF7"/>
    <w:rsid w:val="00F70FA6"/>
    <w:rsid w:val="00FD0F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0AF8A"/>
  <w15:chartTrackingRefBased/>
  <w15:docId w15:val="{55B5078A-9A8F-4CEE-8237-6912362C3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A66D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freplytext">
    <w:name w:val="of_reply_text"/>
    <w:basedOn w:val="a0"/>
    <w:rsid w:val="00A66D97"/>
  </w:style>
  <w:style w:type="character" w:customStyle="1" w:styleId="buttontext">
    <w:name w:val="button_text"/>
    <w:basedOn w:val="a0"/>
    <w:rsid w:val="00A66D97"/>
  </w:style>
  <w:style w:type="paragraph" w:styleId="a3">
    <w:name w:val="List Paragraph"/>
    <w:basedOn w:val="a"/>
    <w:uiPriority w:val="34"/>
    <w:qFormat/>
    <w:rsid w:val="00A66D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771567">
      <w:bodyDiv w:val="1"/>
      <w:marLeft w:val="0"/>
      <w:marRight w:val="0"/>
      <w:marTop w:val="0"/>
      <w:marBottom w:val="0"/>
      <w:divBdr>
        <w:top w:val="none" w:sz="0" w:space="0" w:color="auto"/>
        <w:left w:val="none" w:sz="0" w:space="0" w:color="auto"/>
        <w:bottom w:val="none" w:sz="0" w:space="0" w:color="auto"/>
        <w:right w:val="none" w:sz="0" w:space="0" w:color="auto"/>
      </w:divBdr>
    </w:div>
    <w:div w:id="552157128">
      <w:bodyDiv w:val="1"/>
      <w:marLeft w:val="0"/>
      <w:marRight w:val="0"/>
      <w:marTop w:val="0"/>
      <w:marBottom w:val="0"/>
      <w:divBdr>
        <w:top w:val="none" w:sz="0" w:space="0" w:color="auto"/>
        <w:left w:val="none" w:sz="0" w:space="0" w:color="auto"/>
        <w:bottom w:val="none" w:sz="0" w:space="0" w:color="auto"/>
        <w:right w:val="none" w:sz="0" w:space="0" w:color="auto"/>
      </w:divBdr>
    </w:div>
    <w:div w:id="705566135">
      <w:bodyDiv w:val="1"/>
      <w:marLeft w:val="0"/>
      <w:marRight w:val="0"/>
      <w:marTop w:val="0"/>
      <w:marBottom w:val="0"/>
      <w:divBdr>
        <w:top w:val="none" w:sz="0" w:space="0" w:color="auto"/>
        <w:left w:val="none" w:sz="0" w:space="0" w:color="auto"/>
        <w:bottom w:val="none" w:sz="0" w:space="0" w:color="auto"/>
        <w:right w:val="none" w:sz="0" w:space="0" w:color="auto"/>
      </w:divBdr>
      <w:divsChild>
        <w:div w:id="1171914933">
          <w:marLeft w:val="0"/>
          <w:marRight w:val="0"/>
          <w:marTop w:val="0"/>
          <w:marBottom w:val="90"/>
          <w:divBdr>
            <w:top w:val="single" w:sz="6" w:space="0" w:color="DBDFE4"/>
            <w:left w:val="single" w:sz="6" w:space="0" w:color="DBDFE4"/>
            <w:bottom w:val="single" w:sz="6" w:space="0" w:color="DBDFE4"/>
            <w:right w:val="single" w:sz="6" w:space="0" w:color="DBDFE4"/>
          </w:divBdr>
          <w:divsChild>
            <w:div w:id="1282885449">
              <w:marLeft w:val="0"/>
              <w:marRight w:val="0"/>
              <w:marTop w:val="0"/>
              <w:marBottom w:val="0"/>
              <w:divBdr>
                <w:top w:val="single" w:sz="6" w:space="11" w:color="E3E6EA"/>
                <w:left w:val="none" w:sz="0" w:space="0" w:color="auto"/>
                <w:bottom w:val="none" w:sz="0" w:space="0" w:color="auto"/>
                <w:right w:val="none" w:sz="0" w:space="0" w:color="auto"/>
              </w:divBdr>
              <w:divsChild>
                <w:div w:id="1531991658">
                  <w:marLeft w:val="0"/>
                  <w:marRight w:val="1350"/>
                  <w:marTop w:val="0"/>
                  <w:marBottom w:val="225"/>
                  <w:divBdr>
                    <w:top w:val="none" w:sz="0" w:space="0" w:color="auto"/>
                    <w:left w:val="none" w:sz="0" w:space="0" w:color="auto"/>
                    <w:bottom w:val="none" w:sz="0" w:space="0" w:color="auto"/>
                    <w:right w:val="none" w:sz="0" w:space="0" w:color="auto"/>
                  </w:divBdr>
                </w:div>
                <w:div w:id="2073232833">
                  <w:marLeft w:val="0"/>
                  <w:marRight w:val="1350"/>
                  <w:marTop w:val="0"/>
                  <w:marBottom w:val="0"/>
                  <w:divBdr>
                    <w:top w:val="none" w:sz="0" w:space="0" w:color="auto"/>
                    <w:left w:val="none" w:sz="0" w:space="0" w:color="auto"/>
                    <w:bottom w:val="none" w:sz="0" w:space="0" w:color="auto"/>
                    <w:right w:val="none" w:sz="0" w:space="0" w:color="auto"/>
                  </w:divBdr>
                  <w:divsChild>
                    <w:div w:id="832186344">
                      <w:marLeft w:val="0"/>
                      <w:marRight w:val="0"/>
                      <w:marTop w:val="0"/>
                      <w:marBottom w:val="0"/>
                      <w:divBdr>
                        <w:top w:val="none" w:sz="0" w:space="0" w:color="auto"/>
                        <w:left w:val="none" w:sz="0" w:space="0" w:color="auto"/>
                        <w:bottom w:val="none" w:sz="0" w:space="0" w:color="auto"/>
                        <w:right w:val="none" w:sz="0" w:space="0" w:color="auto"/>
                      </w:divBdr>
                      <w:divsChild>
                        <w:div w:id="97225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711541">
      <w:bodyDiv w:val="1"/>
      <w:marLeft w:val="0"/>
      <w:marRight w:val="0"/>
      <w:marTop w:val="0"/>
      <w:marBottom w:val="0"/>
      <w:divBdr>
        <w:top w:val="none" w:sz="0" w:space="0" w:color="auto"/>
        <w:left w:val="none" w:sz="0" w:space="0" w:color="auto"/>
        <w:bottom w:val="none" w:sz="0" w:space="0" w:color="auto"/>
        <w:right w:val="none" w:sz="0" w:space="0" w:color="auto"/>
      </w:divBdr>
    </w:div>
    <w:div w:id="1697343659">
      <w:bodyDiv w:val="1"/>
      <w:marLeft w:val="0"/>
      <w:marRight w:val="0"/>
      <w:marTop w:val="0"/>
      <w:marBottom w:val="0"/>
      <w:divBdr>
        <w:top w:val="none" w:sz="0" w:space="0" w:color="auto"/>
        <w:left w:val="none" w:sz="0" w:space="0" w:color="auto"/>
        <w:bottom w:val="none" w:sz="0" w:space="0" w:color="auto"/>
        <w:right w:val="none" w:sz="0" w:space="0" w:color="auto"/>
      </w:divBdr>
    </w:div>
    <w:div w:id="175401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1064</Words>
  <Characters>6070</Characters>
  <Application>Microsoft Office Word</Application>
  <DocSecurity>0</DocSecurity>
  <Lines>50</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Orshter</dc:creator>
  <cp:keywords/>
  <dc:description/>
  <cp:lastModifiedBy>Lior Orshter</cp:lastModifiedBy>
  <cp:revision>7</cp:revision>
  <dcterms:created xsi:type="dcterms:W3CDTF">2021-07-06T06:58:00Z</dcterms:created>
  <dcterms:modified xsi:type="dcterms:W3CDTF">2021-07-06T08:45:00Z</dcterms:modified>
</cp:coreProperties>
</file>