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0B1B136F" w14:textId="28C5342F" w:rsidR="009333D6" w:rsidRPr="000C403D" w:rsidRDefault="009333D6" w:rsidP="009333D6">
      <w:pPr>
        <w:bidi/>
        <w:spacing w:line="360" w:lineRule="auto"/>
        <w:rPr>
          <w:rFonts w:ascii="David" w:hAnsi="David" w:cs="David"/>
          <w:b/>
          <w:bCs/>
          <w:sz w:val="24"/>
          <w:szCs w:val="24"/>
          <w:rtl/>
        </w:rPr>
      </w:pPr>
    </w:p>
    <w:p w14:paraId="306FC505" w14:textId="4AE61167" w:rsidR="009333D6" w:rsidRPr="000C403D" w:rsidRDefault="009333D6" w:rsidP="009333D6">
      <w:pPr>
        <w:bidi/>
        <w:spacing w:line="360" w:lineRule="auto"/>
        <w:rPr>
          <w:rFonts w:ascii="David" w:hAnsi="David" w:cs="David"/>
          <w:b/>
          <w:bCs/>
          <w:sz w:val="24"/>
          <w:szCs w:val="24"/>
          <w:rtl/>
        </w:rPr>
      </w:pPr>
    </w:p>
    <w:p w14:paraId="77368C48" w14:textId="02B0ADA1" w:rsidR="009333D6" w:rsidRPr="000C403D" w:rsidRDefault="009333D6" w:rsidP="009333D6">
      <w:pPr>
        <w:bidi/>
        <w:spacing w:line="360" w:lineRule="auto"/>
        <w:rPr>
          <w:rFonts w:ascii="David" w:hAnsi="David" w:cs="David"/>
          <w:b/>
          <w:bCs/>
          <w:sz w:val="24"/>
          <w:szCs w:val="24"/>
          <w:rtl/>
        </w:rPr>
      </w:pPr>
    </w:p>
    <w:p w14:paraId="4F01BC8C" w14:textId="10AB3682" w:rsidR="009333D6" w:rsidRPr="000C403D" w:rsidRDefault="009333D6" w:rsidP="009333D6">
      <w:pPr>
        <w:bidi/>
        <w:spacing w:line="360" w:lineRule="auto"/>
        <w:rPr>
          <w:rFonts w:ascii="David" w:hAnsi="David" w:cs="David"/>
          <w:b/>
          <w:bCs/>
          <w:sz w:val="24"/>
          <w:szCs w:val="24"/>
          <w:rtl/>
        </w:rPr>
      </w:pPr>
    </w:p>
    <w:p w14:paraId="1356D612" w14:textId="055F36E7" w:rsidR="009333D6" w:rsidRPr="000C403D" w:rsidRDefault="009333D6" w:rsidP="009333D6">
      <w:pPr>
        <w:bidi/>
        <w:spacing w:line="360" w:lineRule="auto"/>
        <w:rPr>
          <w:rFonts w:ascii="David" w:hAnsi="David" w:cs="David"/>
          <w:b/>
          <w:bCs/>
          <w:sz w:val="24"/>
          <w:szCs w:val="24"/>
          <w:rtl/>
        </w:rPr>
      </w:pPr>
    </w:p>
    <w:p w14:paraId="30C9DE89" w14:textId="4B6B0476" w:rsidR="009333D6" w:rsidRPr="000C403D" w:rsidRDefault="009333D6" w:rsidP="009333D6">
      <w:pPr>
        <w:bidi/>
        <w:spacing w:line="360" w:lineRule="auto"/>
        <w:rPr>
          <w:rFonts w:ascii="David" w:hAnsi="David" w:cs="David"/>
          <w:b/>
          <w:bCs/>
          <w:sz w:val="24"/>
          <w:szCs w:val="24"/>
          <w:rtl/>
        </w:rPr>
      </w:pPr>
    </w:p>
    <w:p w14:paraId="639702C6" w14:textId="335252F4" w:rsidR="009333D6" w:rsidRPr="000C403D" w:rsidRDefault="009333D6" w:rsidP="009333D6">
      <w:pPr>
        <w:bidi/>
        <w:spacing w:line="360" w:lineRule="auto"/>
        <w:rPr>
          <w:rFonts w:ascii="David" w:hAnsi="David" w:cs="David"/>
          <w:b/>
          <w:bCs/>
          <w:sz w:val="24"/>
          <w:szCs w:val="24"/>
          <w:rtl/>
        </w:rPr>
      </w:pPr>
    </w:p>
    <w:p w14:paraId="78451921" w14:textId="0DE1F390" w:rsidR="009333D6" w:rsidRPr="000C403D" w:rsidRDefault="009333D6" w:rsidP="009333D6">
      <w:pPr>
        <w:bidi/>
        <w:spacing w:line="360" w:lineRule="auto"/>
        <w:rPr>
          <w:rFonts w:ascii="David" w:hAnsi="David" w:cs="David"/>
          <w:b/>
          <w:bCs/>
          <w:sz w:val="24"/>
          <w:szCs w:val="24"/>
          <w:rtl/>
        </w:rPr>
      </w:pPr>
    </w:p>
    <w:p w14:paraId="3049966F" w14:textId="121CDFDE" w:rsidR="009333D6" w:rsidRPr="000C403D" w:rsidRDefault="009333D6" w:rsidP="009333D6">
      <w:pPr>
        <w:bidi/>
        <w:spacing w:line="360" w:lineRule="auto"/>
        <w:rPr>
          <w:rFonts w:ascii="David" w:hAnsi="David" w:cs="David"/>
          <w:b/>
          <w:bCs/>
          <w:sz w:val="24"/>
          <w:szCs w:val="24"/>
          <w:rtl/>
        </w:rPr>
      </w:pPr>
    </w:p>
    <w:p w14:paraId="78C4FC52" w14:textId="03544F5C" w:rsidR="009333D6" w:rsidRDefault="009333D6" w:rsidP="009333D6">
      <w:pPr>
        <w:bidi/>
        <w:spacing w:line="360" w:lineRule="auto"/>
        <w:rPr>
          <w:rFonts w:ascii="David" w:hAnsi="David" w:cs="David"/>
          <w:b/>
          <w:bCs/>
          <w:sz w:val="24"/>
          <w:szCs w:val="24"/>
        </w:rPr>
      </w:pPr>
    </w:p>
    <w:p w14:paraId="54751FF0" w14:textId="52BF10BB" w:rsidR="00022C8E" w:rsidRDefault="00022C8E" w:rsidP="00022C8E">
      <w:pPr>
        <w:bidi/>
        <w:spacing w:line="360" w:lineRule="auto"/>
        <w:rPr>
          <w:rFonts w:ascii="David" w:hAnsi="David" w:cs="David"/>
          <w:b/>
          <w:bCs/>
          <w:sz w:val="28"/>
          <w:szCs w:val="28"/>
          <w:rtl/>
        </w:rPr>
      </w:pPr>
      <w:r>
        <w:rPr>
          <w:rFonts w:ascii="David" w:hAnsi="David" w:cs="David" w:hint="cs"/>
          <w:b/>
          <w:bCs/>
          <w:sz w:val="28"/>
          <w:szCs w:val="28"/>
          <w:rtl/>
        </w:rPr>
        <w:lastRenderedPageBreak/>
        <w:t xml:space="preserve">מבוא </w:t>
      </w:r>
    </w:p>
    <w:p w14:paraId="07EFFC2E" w14:textId="77777777" w:rsidR="00CE37EE" w:rsidRDefault="00CE37EE" w:rsidP="00CE37EE">
      <w:pPr>
        <w:pStyle w:val="Default"/>
      </w:pPr>
    </w:p>
    <w:p w14:paraId="06F1ADD4" w14:textId="6E327887" w:rsidR="00CE37EE" w:rsidRDefault="00CE37EE" w:rsidP="00CE37EE">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5AAAB78E" w14:textId="77777777" w:rsidR="00022C8E" w:rsidRPr="00B56D41" w:rsidRDefault="00022C8E" w:rsidP="00022C8E">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16A1DD12" w14:textId="77777777" w:rsidR="00022C8E" w:rsidRPr="00022C8E" w:rsidRDefault="00022C8E" w:rsidP="00022C8E">
      <w:pPr>
        <w:bidi/>
        <w:spacing w:line="360" w:lineRule="auto"/>
        <w:rPr>
          <w:rFonts w:ascii="David" w:hAnsi="David" w:cs="David" w:hint="cs"/>
          <w:b/>
          <w:bCs/>
          <w:sz w:val="28"/>
          <w:szCs w:val="28"/>
          <w:rtl/>
        </w:rPr>
      </w:pPr>
    </w:p>
    <w:p w14:paraId="48D08A3E" w14:textId="77777777" w:rsidR="00022C8E" w:rsidRDefault="00022C8E" w:rsidP="001D2D4B">
      <w:pPr>
        <w:bidi/>
        <w:spacing w:line="360" w:lineRule="auto"/>
        <w:rPr>
          <w:rFonts w:ascii="David" w:hAnsi="David" w:cs="David"/>
          <w:b/>
          <w:bCs/>
          <w:sz w:val="28"/>
          <w:szCs w:val="28"/>
        </w:rPr>
      </w:pPr>
    </w:p>
    <w:p w14:paraId="51960554" w14:textId="1F9C435A" w:rsidR="002F62B0" w:rsidRPr="006303AD"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790660FC" w14:textId="0506A80D" w:rsidR="00A66A8D" w:rsidRPr="00A66A8D" w:rsidRDefault="006303AD" w:rsidP="00A66A8D">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 xml:space="preserve">פרק א' - מהי צפיית בינג' - הגדרה </w:t>
      </w:r>
    </w:p>
    <w:p w14:paraId="6F7B7D00" w14:textId="6C10E0DA" w:rsidR="008A64BB" w:rsidRDefault="002D1C4F" w:rsidP="008A64BB">
      <w:pPr>
        <w:bidi/>
        <w:spacing w:line="360" w:lineRule="auto"/>
        <w:rPr>
          <w:rFonts w:ascii="David" w:hAnsi="David" w:cs="David"/>
          <w:b/>
          <w:bCs/>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B56D41">
        <w:rPr>
          <w:rFonts w:ascii="David" w:hAnsi="David" w:cs="David" w:hint="cs"/>
          <w:sz w:val="24"/>
          <w:szCs w:val="24"/>
          <w:rtl/>
        </w:rPr>
        <w:t>כבר מזמן הפך</w:t>
      </w:r>
      <w:r w:rsidR="00A925F9" w:rsidRPr="00B56D41">
        <w:rPr>
          <w:rFonts w:ascii="David" w:hAnsi="David" w:cs="David" w:hint="cs"/>
          <w:sz w:val="24"/>
          <w:szCs w:val="24"/>
          <w:rtl/>
        </w:rPr>
        <w:t xml:space="preserve"> ל</w:t>
      </w:r>
      <w:r w:rsidR="00E606F4">
        <w:rPr>
          <w:rFonts w:ascii="David" w:hAnsi="David" w:cs="David" w:hint="cs"/>
          <w:sz w:val="24"/>
          <w:szCs w:val="24"/>
          <w:rtl/>
        </w:rPr>
        <w:t>מונח</w:t>
      </w:r>
      <w:r w:rsidR="00A925F9" w:rsidRPr="00B56D41">
        <w:rPr>
          <w:rFonts w:ascii="David" w:hAnsi="David" w:cs="David" w:hint="cs"/>
          <w:sz w:val="24"/>
          <w:szCs w:val="24"/>
          <w:rtl/>
        </w:rPr>
        <w:t xml:space="preserve"> מוכר בתרבות הפופולארית. </w:t>
      </w:r>
      <w:r w:rsidR="00A26C8B">
        <w:rPr>
          <w:rFonts w:ascii="David" w:hAnsi="David" w:cs="David" w:hint="cs"/>
          <w:b/>
          <w:bCs/>
          <w:sz w:val="24"/>
          <w:szCs w:val="24"/>
          <w:rtl/>
        </w:rPr>
        <w:t xml:space="preserve">צפיית בינג' לא התחילה עם </w:t>
      </w:r>
      <w:proofErr w:type="spellStart"/>
      <w:r w:rsidR="00A26C8B">
        <w:rPr>
          <w:rFonts w:ascii="David" w:hAnsi="David" w:cs="David" w:hint="cs"/>
          <w:b/>
          <w:bCs/>
          <w:sz w:val="24"/>
          <w:szCs w:val="24"/>
          <w:rtl/>
        </w:rPr>
        <w:t>הנטפליקס</w:t>
      </w:r>
      <w:proofErr w:type="spellEnd"/>
      <w:r w:rsidR="00A26C8B">
        <w:rPr>
          <w:rFonts w:ascii="David" w:hAnsi="David" w:cs="David" w:hint="cs"/>
          <w:b/>
          <w:bCs/>
          <w:sz w:val="24"/>
          <w:szCs w:val="24"/>
          <w:rtl/>
        </w:rPr>
        <w:t>, או כ פלטפורמה אחרת, אלא בצפייה מרתונית של סופי שבוע</w:t>
      </w:r>
      <w:r w:rsidR="00F32DE7">
        <w:rPr>
          <w:rFonts w:ascii="David" w:hAnsi="David" w:cs="David" w:hint="cs"/>
          <w:b/>
          <w:bCs/>
          <w:sz w:val="24"/>
          <w:szCs w:val="24"/>
          <w:rtl/>
        </w:rPr>
        <w:t xml:space="preserve"> בטלוויזיה לינארית. </w:t>
      </w:r>
      <w:r w:rsidR="004D26C1">
        <w:rPr>
          <w:rFonts w:ascii="David" w:hAnsi="David" w:cs="David" w:hint="cs"/>
          <w:b/>
          <w:bCs/>
          <w:sz w:val="24"/>
          <w:szCs w:val="24"/>
          <w:rtl/>
        </w:rPr>
        <w:t xml:space="preserve">למצוא חומר על צפייה מרתונית בטלוויזיה לינארית. </w:t>
      </w:r>
    </w:p>
    <w:p w14:paraId="31DE4F8B" w14:textId="25D35B4E" w:rsidR="000D7D45" w:rsidRDefault="00E25255" w:rsidP="002D3DAD">
      <w:pPr>
        <w:bidi/>
        <w:spacing w:after="0" w:line="360" w:lineRule="auto"/>
        <w:rPr>
          <w:rFonts w:ascii="David" w:hAnsi="David" w:cs="David"/>
          <w:sz w:val="24"/>
          <w:szCs w:val="24"/>
          <w:rtl/>
        </w:rPr>
      </w:pPr>
      <w:r>
        <w:rPr>
          <w:rFonts w:ascii="David" w:hAnsi="David" w:cs="David" w:hint="cs"/>
          <w:sz w:val="24"/>
          <w:szCs w:val="24"/>
          <w:rtl/>
        </w:rPr>
        <w:t xml:space="preserve">המילה בינג' </w:t>
      </w:r>
      <w:r w:rsidR="00D17D8F">
        <w:rPr>
          <w:rFonts w:ascii="David" w:hAnsi="David" w:cs="David" w:hint="cs"/>
          <w:sz w:val="24"/>
          <w:szCs w:val="24"/>
          <w:rtl/>
        </w:rPr>
        <w:t>(</w:t>
      </w:r>
      <w:r w:rsidR="00D17D8F">
        <w:rPr>
          <w:rFonts w:ascii="David" w:hAnsi="David" w:cs="David"/>
          <w:sz w:val="24"/>
          <w:szCs w:val="24"/>
        </w:rPr>
        <w:t>Binge</w:t>
      </w:r>
      <w:r w:rsidR="00D17D8F">
        <w:rPr>
          <w:rFonts w:ascii="David" w:hAnsi="David" w:cs="David" w:hint="cs"/>
          <w:sz w:val="24"/>
          <w:szCs w:val="24"/>
          <w:rtl/>
        </w:rPr>
        <w:t xml:space="preserve">) מגיעה מהשפה האנגלית מאמצע המאה ה-19, </w:t>
      </w:r>
      <w:r w:rsidR="00652279">
        <w:rPr>
          <w:rFonts w:ascii="David" w:hAnsi="David" w:cs="David" w:hint="cs"/>
          <w:sz w:val="24"/>
          <w:szCs w:val="24"/>
          <w:rtl/>
        </w:rPr>
        <w:t xml:space="preserve">שמשמעותה המקורית היא לספוג.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שהיא </w:t>
      </w:r>
      <w:r w:rsidR="003E3464">
        <w:rPr>
          <w:rFonts w:ascii="David" w:hAnsi="David" w:cs="David" w:hint="cs"/>
          <w:sz w:val="24"/>
          <w:szCs w:val="24"/>
          <w:rtl/>
        </w:rPr>
        <w:t>"</w:t>
      </w:r>
      <w:r w:rsidR="00606B3A">
        <w:rPr>
          <w:rFonts w:ascii="David" w:hAnsi="David" w:cs="David" w:hint="cs"/>
          <w:sz w:val="24"/>
          <w:szCs w:val="24"/>
          <w:rtl/>
        </w:rPr>
        <w:t>פ</w:t>
      </w:r>
      <w:r w:rsidR="00011739">
        <w:rPr>
          <w:rFonts w:ascii="David" w:hAnsi="David" w:cs="David" w:hint="cs"/>
          <w:sz w:val="24"/>
          <w:szCs w:val="24"/>
          <w:rtl/>
        </w:rPr>
        <w:t>עולה מוגזמת</w:t>
      </w:r>
      <w:r w:rsidR="003E3464">
        <w:rPr>
          <w:rFonts w:ascii="David" w:hAnsi="David" w:cs="David" w:hint="cs"/>
          <w:sz w:val="24"/>
          <w:szCs w:val="24"/>
          <w:rtl/>
        </w:rPr>
        <w:t>"</w:t>
      </w:r>
      <w:r w:rsidR="00011739">
        <w:rPr>
          <w:rFonts w:ascii="David" w:hAnsi="David" w:cs="David" w:hint="cs"/>
          <w:sz w:val="24"/>
          <w:szCs w:val="24"/>
          <w:rtl/>
        </w:rPr>
        <w:t xml:space="preserve"> 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3862931B" w14:textId="77777777" w:rsidR="004D26C1" w:rsidRDefault="004D26C1" w:rsidP="004D26C1">
      <w:pPr>
        <w:bidi/>
        <w:spacing w:after="0" w:line="360" w:lineRule="auto"/>
        <w:rPr>
          <w:rFonts w:ascii="David" w:hAnsi="David" w:cs="David"/>
          <w:sz w:val="24"/>
          <w:szCs w:val="24"/>
        </w:rPr>
      </w:pPr>
    </w:p>
    <w:p w14:paraId="7C1D2CFF" w14:textId="2D095B40" w:rsidR="004C6630" w:rsidRDefault="000D7D45" w:rsidP="004C6630">
      <w:pPr>
        <w:bidi/>
        <w:spacing w:after="0" w:line="360" w:lineRule="auto"/>
        <w:rPr>
          <w:rFonts w:ascii="David" w:hAnsi="David" w:cs="David"/>
          <w:sz w:val="24"/>
          <w:szCs w:val="24"/>
          <w:rtl/>
        </w:rPr>
      </w:pPr>
      <w:r>
        <w:rPr>
          <w:rFonts w:ascii="David" w:hAnsi="David" w:cs="David" w:hint="cs"/>
          <w:sz w:val="24"/>
          <w:szCs w:val="24"/>
          <w:rtl/>
        </w:rPr>
        <w:t xml:space="preserve">למילה "בינג'" לרוב יש קונוטציה שלילית, כיוון שהיא מקושרת </w:t>
      </w:r>
      <w:r w:rsidR="000F7EC8">
        <w:rPr>
          <w:rFonts w:ascii="David" w:hAnsi="David" w:cs="David" w:hint="cs"/>
          <w:sz w:val="24"/>
          <w:szCs w:val="24"/>
          <w:rtl/>
        </w:rPr>
        <w:t>להפרעות של שתייה ואכילה מוגזמת</w:t>
      </w:r>
      <w:r w:rsidR="0059408D">
        <w:rPr>
          <w:rFonts w:ascii="David" w:hAnsi="David" w:cs="David" w:hint="cs"/>
          <w:sz w:val="24"/>
          <w:szCs w:val="24"/>
          <w:rtl/>
        </w:rPr>
        <w:t xml:space="preserve">, ולכן חלק מהחוקרים מעדיפים ניסוח בעל קונוטציה חיובית יותר - "צפייה מרתונית". </w:t>
      </w:r>
      <w:r w:rsidR="003846CC">
        <w:rPr>
          <w:rFonts w:ascii="David" w:hAnsi="David" w:cs="David" w:hint="cs"/>
          <w:sz w:val="24"/>
          <w:szCs w:val="24"/>
          <w:rtl/>
        </w:rPr>
        <w:t>(</w:t>
      </w:r>
      <w:proofErr w:type="spellStart"/>
      <w:r w:rsidR="003846CC">
        <w:rPr>
          <w:rFonts w:ascii="David" w:hAnsi="David" w:cs="David"/>
          <w:sz w:val="24"/>
          <w:szCs w:val="24"/>
        </w:rPr>
        <w:t>pittman</w:t>
      </w:r>
      <w:proofErr w:type="spellEnd"/>
      <w:r w:rsidR="003846CC">
        <w:rPr>
          <w:rFonts w:ascii="David" w:hAnsi="David" w:cs="David"/>
          <w:sz w:val="24"/>
          <w:szCs w:val="24"/>
        </w:rPr>
        <w:t xml:space="preserve"> &amp; Sheehan, 2015</w:t>
      </w:r>
      <w:r w:rsidR="003846CC">
        <w:rPr>
          <w:rFonts w:ascii="David" w:hAnsi="David" w:cs="David" w:hint="cs"/>
          <w:sz w:val="24"/>
          <w:szCs w:val="24"/>
          <w:rtl/>
        </w:rPr>
        <w:t>)</w:t>
      </w:r>
    </w:p>
    <w:p w14:paraId="6EC244E1" w14:textId="2DD95F6E" w:rsidR="00AC75F1" w:rsidRDefault="004C6630" w:rsidP="00AC75F1">
      <w:pPr>
        <w:bidi/>
        <w:spacing w:after="0" w:line="360" w:lineRule="auto"/>
        <w:rPr>
          <w:rFonts w:ascii="David" w:hAnsi="David" w:cs="David" w:hint="cs"/>
          <w:sz w:val="24"/>
          <w:szCs w:val="24"/>
          <w:rtl/>
        </w:rPr>
      </w:pPr>
      <w:r>
        <w:rPr>
          <w:rFonts w:ascii="David" w:hAnsi="David" w:cs="David" w:hint="cs"/>
          <w:sz w:val="24"/>
          <w:szCs w:val="24"/>
          <w:rtl/>
        </w:rPr>
        <w:t xml:space="preserve">חוקרים </w:t>
      </w:r>
      <w:r w:rsidR="00B048E5">
        <w:rPr>
          <w:rFonts w:ascii="David" w:hAnsi="David" w:cs="David" w:hint="cs"/>
          <w:sz w:val="24"/>
          <w:szCs w:val="24"/>
          <w:rtl/>
        </w:rPr>
        <w:t xml:space="preserve">כיום עדיין </w:t>
      </w:r>
      <w:r>
        <w:rPr>
          <w:rFonts w:ascii="David" w:hAnsi="David" w:cs="David" w:hint="cs"/>
          <w:sz w:val="24"/>
          <w:szCs w:val="24"/>
          <w:rtl/>
        </w:rPr>
        <w:t xml:space="preserve">חלוקים בדעתם על הגדרת המושג "צפיית בינג'". </w:t>
      </w:r>
      <w:r w:rsidR="00B048E5">
        <w:rPr>
          <w:rFonts w:ascii="David" w:hAnsi="David" w:cs="David" w:hint="cs"/>
          <w:sz w:val="24"/>
          <w:szCs w:val="24"/>
          <w:rtl/>
        </w:rPr>
        <w:t>חלק מההגדרות מתבססות על זמן צפייה ואחרות מתבססות על מספר הפרקים שנצפו או משך הצריכה של הצופה. (</w:t>
      </w:r>
      <w:proofErr w:type="spellStart"/>
      <w:r w:rsidR="00E87312">
        <w:rPr>
          <w:rFonts w:ascii="David" w:hAnsi="David" w:cs="David"/>
          <w:sz w:val="24"/>
          <w:szCs w:val="24"/>
        </w:rPr>
        <w:t>Merikivi</w:t>
      </w:r>
      <w:proofErr w:type="spellEnd"/>
      <w:r w:rsidR="00E87312">
        <w:rPr>
          <w:rFonts w:ascii="David" w:hAnsi="David" w:cs="David"/>
          <w:sz w:val="24"/>
          <w:szCs w:val="24"/>
        </w:rPr>
        <w:t xml:space="preserve">, </w:t>
      </w:r>
      <w:proofErr w:type="spellStart"/>
      <w:r w:rsidR="00E87312">
        <w:rPr>
          <w:rFonts w:ascii="David" w:hAnsi="David" w:cs="David"/>
          <w:sz w:val="24"/>
          <w:szCs w:val="24"/>
        </w:rPr>
        <w:t>Bragge</w:t>
      </w:r>
      <w:proofErr w:type="spellEnd"/>
      <w:r w:rsidR="00E87312">
        <w:rPr>
          <w:rFonts w:ascii="David" w:hAnsi="David" w:cs="David"/>
          <w:sz w:val="24"/>
          <w:szCs w:val="24"/>
        </w:rPr>
        <w:t xml:space="preserve">, </w:t>
      </w:r>
      <w:proofErr w:type="spellStart"/>
      <w:r w:rsidR="00E87312">
        <w:rPr>
          <w:rFonts w:ascii="David" w:hAnsi="David" w:cs="David"/>
          <w:sz w:val="24"/>
          <w:szCs w:val="24"/>
        </w:rPr>
        <w:t>Scornavacca</w:t>
      </w:r>
      <w:proofErr w:type="spellEnd"/>
      <w:r w:rsidR="00E87312">
        <w:rPr>
          <w:rFonts w:ascii="David" w:hAnsi="David" w:cs="David"/>
          <w:sz w:val="24"/>
          <w:szCs w:val="24"/>
        </w:rPr>
        <w:t xml:space="preserve"> &amp; </w:t>
      </w:r>
      <w:proofErr w:type="spellStart"/>
      <w:r w:rsidR="00E87312">
        <w:rPr>
          <w:rFonts w:ascii="David" w:hAnsi="David" w:cs="David"/>
          <w:sz w:val="24"/>
          <w:szCs w:val="24"/>
        </w:rPr>
        <w:t>Verhagen</w:t>
      </w:r>
      <w:proofErr w:type="spellEnd"/>
      <w:r w:rsidR="00E87312">
        <w:rPr>
          <w:rFonts w:ascii="David" w:hAnsi="David" w:cs="David"/>
          <w:sz w:val="24"/>
          <w:szCs w:val="24"/>
        </w:rPr>
        <w:t>, 2019</w:t>
      </w:r>
      <w:r w:rsidR="00E87312">
        <w:rPr>
          <w:rFonts w:ascii="David" w:hAnsi="David" w:cs="David" w:hint="cs"/>
          <w:sz w:val="24"/>
          <w:szCs w:val="24"/>
          <w:rtl/>
        </w:rPr>
        <w:t xml:space="preserve">). </w:t>
      </w:r>
    </w:p>
    <w:p w14:paraId="7FA5458E" w14:textId="77777777" w:rsidR="00052A7B" w:rsidRDefault="00BC2A21" w:rsidP="002D3DAD">
      <w:pPr>
        <w:bidi/>
        <w:spacing w:line="360" w:lineRule="auto"/>
        <w:rPr>
          <w:rFonts w:ascii="David" w:hAnsi="David" w:cs="David"/>
          <w:sz w:val="24"/>
          <w:szCs w:val="24"/>
          <w:rtl/>
        </w:rPr>
      </w:pPr>
      <w:r>
        <w:rPr>
          <w:rFonts w:ascii="David" w:hAnsi="David" w:cs="David" w:hint="cs"/>
          <w:sz w:val="24"/>
          <w:szCs w:val="24"/>
          <w:rtl/>
        </w:rPr>
        <w:t>המונח "צפיית בינג'" זכה להגדרות שונות על ידי חוקרים רבים לאורך השנים.</w:t>
      </w:r>
      <w:r w:rsidR="00052A7B">
        <w:rPr>
          <w:rFonts w:ascii="David" w:hAnsi="David" w:cs="David" w:hint="cs"/>
          <w:sz w:val="24"/>
          <w:szCs w:val="24"/>
          <w:rtl/>
        </w:rPr>
        <w:t xml:space="preserve"> לדעת פיטמן </w:t>
      </w:r>
      <w:proofErr w:type="spellStart"/>
      <w:r w:rsidR="00052A7B">
        <w:rPr>
          <w:rFonts w:ascii="David" w:hAnsi="David" w:cs="David" w:hint="cs"/>
          <w:sz w:val="24"/>
          <w:szCs w:val="24"/>
          <w:rtl/>
        </w:rPr>
        <w:t>ושיהן</w:t>
      </w:r>
      <w:proofErr w:type="spellEnd"/>
      <w:r w:rsidR="00052A7B">
        <w:rPr>
          <w:rFonts w:ascii="David" w:hAnsi="David" w:cs="David" w:hint="cs"/>
          <w:sz w:val="24"/>
          <w:szCs w:val="24"/>
          <w:rtl/>
        </w:rPr>
        <w:t>,</w:t>
      </w:r>
    </w:p>
    <w:p w14:paraId="52192880" w14:textId="20260954" w:rsidR="00D92595" w:rsidRDefault="00052A7B" w:rsidP="002D3DAD">
      <w:pPr>
        <w:bidi/>
        <w:spacing w:line="360" w:lineRule="auto"/>
        <w:rPr>
          <w:rFonts w:ascii="David" w:hAnsi="David" w:cs="David"/>
          <w:sz w:val="24"/>
          <w:szCs w:val="24"/>
          <w:rtl/>
        </w:rPr>
      </w:pP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4184D682" w14:textId="77777777" w:rsidR="00D92595" w:rsidRPr="00052A7B" w:rsidRDefault="00D92595" w:rsidP="00D92595">
      <w:pPr>
        <w:bidi/>
        <w:spacing w:line="360" w:lineRule="auto"/>
        <w:rPr>
          <w:rFonts w:ascii="David" w:hAnsi="David" w:cs="David"/>
          <w:sz w:val="24"/>
          <w:szCs w:val="24"/>
          <w:rtl/>
        </w:rPr>
      </w:pPr>
    </w:p>
    <w:p w14:paraId="48DC92FD" w14:textId="5E2E3D78" w:rsidR="003319E2" w:rsidRPr="00D92595" w:rsidRDefault="003319E2" w:rsidP="003319E2">
      <w:pPr>
        <w:autoSpaceDE w:val="0"/>
        <w:autoSpaceDN w:val="0"/>
        <w:adjustRightInd w:val="0"/>
        <w:spacing w:after="0" w:line="240" w:lineRule="auto"/>
        <w:rPr>
          <w:rFonts w:ascii="GulliverRM" w:hAnsi="GulliverRM" w:cs="GulliverRM"/>
          <w:color w:val="000000"/>
          <w:sz w:val="24"/>
          <w:szCs w:val="24"/>
          <w:highlight w:val="yellow"/>
        </w:rPr>
      </w:pPr>
      <w:r w:rsidRPr="00D92595">
        <w:rPr>
          <w:rFonts w:ascii="GulliverRM" w:hAnsi="GulliverRM" w:cs="GulliverRM"/>
          <w:color w:val="000000"/>
          <w:sz w:val="24"/>
          <w:szCs w:val="24"/>
          <w:highlight w:val="yellow"/>
        </w:rPr>
        <w:lastRenderedPageBreak/>
        <w:t>For example,</w:t>
      </w:r>
    </w:p>
    <w:p w14:paraId="50FFCB80" w14:textId="77777777" w:rsidR="003319E2" w:rsidRPr="00D92595" w:rsidRDefault="003319E2" w:rsidP="003319E2">
      <w:pPr>
        <w:autoSpaceDE w:val="0"/>
        <w:autoSpaceDN w:val="0"/>
        <w:adjustRightInd w:val="0"/>
        <w:spacing w:after="0" w:line="240" w:lineRule="auto"/>
        <w:rPr>
          <w:rFonts w:ascii="GulliverRM" w:hAnsi="GulliverRM" w:cs="GulliverRM"/>
          <w:color w:val="000000"/>
          <w:sz w:val="24"/>
          <w:szCs w:val="24"/>
          <w:highlight w:val="yellow"/>
        </w:rPr>
      </w:pPr>
      <w:r w:rsidRPr="00D92595">
        <w:rPr>
          <w:rFonts w:ascii="GulliverRM" w:hAnsi="GulliverRM" w:cs="GulliverRM"/>
          <w:color w:val="000000"/>
          <w:sz w:val="24"/>
          <w:szCs w:val="24"/>
          <w:highlight w:val="yellow"/>
        </w:rPr>
        <w:t>binge watching has been defined “as consuming two</w:t>
      </w:r>
    </w:p>
    <w:p w14:paraId="002ED44E" w14:textId="77777777" w:rsidR="003319E2" w:rsidRPr="00D92595" w:rsidRDefault="003319E2" w:rsidP="003319E2">
      <w:pPr>
        <w:autoSpaceDE w:val="0"/>
        <w:autoSpaceDN w:val="0"/>
        <w:adjustRightInd w:val="0"/>
        <w:spacing w:after="0" w:line="240" w:lineRule="auto"/>
        <w:rPr>
          <w:rFonts w:ascii="GulliverRM" w:hAnsi="GulliverRM" w:cs="GulliverRM"/>
          <w:color w:val="000000"/>
          <w:sz w:val="24"/>
          <w:szCs w:val="24"/>
          <w:highlight w:val="yellow"/>
        </w:rPr>
      </w:pPr>
      <w:r w:rsidRPr="00D92595">
        <w:rPr>
          <w:rFonts w:ascii="GulliverRM" w:hAnsi="GulliverRM" w:cs="GulliverRM"/>
          <w:color w:val="000000"/>
          <w:sz w:val="24"/>
          <w:szCs w:val="24"/>
          <w:highlight w:val="yellow"/>
        </w:rPr>
        <w:t>or more episodes of a single television series in one sitting”</w:t>
      </w:r>
    </w:p>
    <w:p w14:paraId="1F936FE8"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D92595">
        <w:rPr>
          <w:rFonts w:ascii="GulliverRM" w:hAnsi="GulliverRM" w:cs="GulliverRM"/>
          <w:color w:val="000000"/>
          <w:sz w:val="24"/>
          <w:szCs w:val="24"/>
          <w:highlight w:val="yellow"/>
        </w:rPr>
        <w:t>(</w:t>
      </w:r>
      <w:r w:rsidRPr="00D92595">
        <w:rPr>
          <w:rFonts w:ascii="GulliverRM" w:hAnsi="GulliverRM" w:cs="GulliverRM"/>
          <w:color w:val="0081AD"/>
          <w:sz w:val="24"/>
          <w:szCs w:val="24"/>
          <w:highlight w:val="yellow"/>
        </w:rPr>
        <w:t xml:space="preserve">Silverman &amp; </w:t>
      </w:r>
      <w:proofErr w:type="spellStart"/>
      <w:r w:rsidRPr="00D92595">
        <w:rPr>
          <w:rFonts w:ascii="GulliverRM" w:hAnsi="GulliverRM" w:cs="GulliverRM"/>
          <w:color w:val="0081AD"/>
          <w:sz w:val="24"/>
          <w:szCs w:val="24"/>
          <w:highlight w:val="yellow"/>
        </w:rPr>
        <w:t>Ryalls</w:t>
      </w:r>
      <w:proofErr w:type="spellEnd"/>
      <w:r w:rsidRPr="00D92595">
        <w:rPr>
          <w:rFonts w:ascii="GulliverRM" w:hAnsi="GulliverRM" w:cs="GulliverRM"/>
          <w:color w:val="0081AD"/>
          <w:sz w:val="24"/>
          <w:szCs w:val="24"/>
          <w:highlight w:val="yellow"/>
        </w:rPr>
        <w:t>, 2016, p. 522</w:t>
      </w:r>
      <w:r w:rsidRPr="00D92595">
        <w:rPr>
          <w:rFonts w:ascii="GulliverRM" w:hAnsi="GulliverRM" w:cs="GulliverRM"/>
          <w:color w:val="000000"/>
          <w:sz w:val="24"/>
          <w:szCs w:val="24"/>
          <w:highlight w:val="yellow"/>
        </w:rPr>
        <w:t>),</w:t>
      </w:r>
      <w:r w:rsidRPr="003319E2">
        <w:rPr>
          <w:rFonts w:ascii="GulliverRM" w:hAnsi="GulliverRM" w:cs="GulliverRM"/>
          <w:color w:val="000000"/>
          <w:sz w:val="24"/>
          <w:szCs w:val="24"/>
        </w:rPr>
        <w:t xml:space="preserve"> “continuing a viewing</w:t>
      </w:r>
    </w:p>
    <w:p w14:paraId="7638DA44"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session [after watching one episode], consuming content</w:t>
      </w:r>
    </w:p>
    <w:p w14:paraId="7E1A59C3"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from the same series, and returning quickly to begin a new</w:t>
      </w:r>
    </w:p>
    <w:p w14:paraId="53F27FCE"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viewing session” (</w:t>
      </w:r>
      <w:proofErr w:type="spellStart"/>
      <w:r w:rsidRPr="003319E2">
        <w:rPr>
          <w:rFonts w:ascii="GulliverRM" w:hAnsi="GulliverRM" w:cs="GulliverRM"/>
          <w:color w:val="0081AD"/>
          <w:sz w:val="24"/>
          <w:szCs w:val="24"/>
        </w:rPr>
        <w:t>Schweidel</w:t>
      </w:r>
      <w:proofErr w:type="spellEnd"/>
      <w:r w:rsidRPr="003319E2">
        <w:rPr>
          <w:rFonts w:ascii="GulliverRM" w:hAnsi="GulliverRM" w:cs="GulliverRM"/>
          <w:color w:val="0081AD"/>
          <w:sz w:val="24"/>
          <w:szCs w:val="24"/>
        </w:rPr>
        <w:t xml:space="preserve"> &amp; Moe, 2016, p. 16</w:t>
      </w:r>
      <w:r w:rsidRPr="003319E2">
        <w:rPr>
          <w:rFonts w:ascii="GulliverRM" w:hAnsi="GulliverRM" w:cs="GulliverRM"/>
          <w:color w:val="000000"/>
          <w:sz w:val="24"/>
          <w:szCs w:val="24"/>
        </w:rPr>
        <w:t>), “watching</w:t>
      </w:r>
    </w:p>
    <w:p w14:paraId="191DE651"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more than two episodes of the same TV show in one sitting”</w:t>
      </w:r>
    </w:p>
    <w:p w14:paraId="2B197B28" w14:textId="77777777" w:rsidR="003319E2" w:rsidRPr="00382945" w:rsidRDefault="003319E2" w:rsidP="003319E2">
      <w:pPr>
        <w:autoSpaceDE w:val="0"/>
        <w:autoSpaceDN w:val="0"/>
        <w:adjustRightInd w:val="0"/>
        <w:spacing w:after="0" w:line="240" w:lineRule="auto"/>
        <w:rPr>
          <w:rFonts w:ascii="GulliverRM" w:hAnsi="GulliverRM" w:cs="GulliverRM"/>
          <w:color w:val="000000"/>
          <w:sz w:val="24"/>
          <w:szCs w:val="24"/>
          <w:highlight w:val="yellow"/>
        </w:rPr>
      </w:pPr>
      <w:r w:rsidRPr="003319E2">
        <w:rPr>
          <w:rFonts w:ascii="GulliverRM" w:hAnsi="GulliverRM" w:cs="GulliverRM"/>
          <w:color w:val="000000"/>
          <w:sz w:val="24"/>
          <w:szCs w:val="24"/>
        </w:rPr>
        <w:t>(</w:t>
      </w:r>
      <w:r w:rsidRPr="003319E2">
        <w:rPr>
          <w:rFonts w:ascii="GulliverRM" w:hAnsi="GulliverRM" w:cs="GulliverRM"/>
          <w:color w:val="0081AD"/>
          <w:sz w:val="24"/>
          <w:szCs w:val="24"/>
        </w:rPr>
        <w:t xml:space="preserve">Walton-Pattison &amp; </w:t>
      </w:r>
      <w:proofErr w:type="spellStart"/>
      <w:r w:rsidRPr="003319E2">
        <w:rPr>
          <w:rFonts w:ascii="GulliverRM" w:hAnsi="GulliverRM" w:cs="GulliverRM"/>
          <w:color w:val="0081AD"/>
          <w:sz w:val="24"/>
          <w:szCs w:val="24"/>
        </w:rPr>
        <w:t>Dombroski</w:t>
      </w:r>
      <w:proofErr w:type="spellEnd"/>
      <w:r w:rsidRPr="003319E2">
        <w:rPr>
          <w:rFonts w:ascii="GulliverRM" w:hAnsi="GulliverRM" w:cs="GulliverRM"/>
          <w:color w:val="0081AD"/>
          <w:sz w:val="24"/>
          <w:szCs w:val="24"/>
        </w:rPr>
        <w:t xml:space="preserve">, &amp; </w:t>
      </w:r>
      <w:proofErr w:type="spellStart"/>
      <w:r w:rsidRPr="003319E2">
        <w:rPr>
          <w:rFonts w:ascii="GulliverRM" w:hAnsi="GulliverRM" w:cs="GulliverRM"/>
          <w:color w:val="0081AD"/>
          <w:sz w:val="24"/>
          <w:szCs w:val="24"/>
        </w:rPr>
        <w:t>Presseau</w:t>
      </w:r>
      <w:proofErr w:type="spellEnd"/>
      <w:r w:rsidRPr="003319E2">
        <w:rPr>
          <w:rFonts w:ascii="GulliverRM" w:hAnsi="GulliverRM" w:cs="GulliverRM"/>
          <w:color w:val="0081AD"/>
          <w:sz w:val="24"/>
          <w:szCs w:val="24"/>
        </w:rPr>
        <w:t>, 2016, p. 3</w:t>
      </w:r>
      <w:r w:rsidRPr="00382945">
        <w:rPr>
          <w:rFonts w:ascii="GulliverRM" w:hAnsi="GulliverRM" w:cs="GulliverRM"/>
          <w:color w:val="000000"/>
          <w:sz w:val="24"/>
          <w:szCs w:val="24"/>
          <w:highlight w:val="yellow"/>
        </w:rPr>
        <w:t>), and</w:t>
      </w:r>
    </w:p>
    <w:p w14:paraId="0B967D2F" w14:textId="77777777" w:rsidR="003319E2" w:rsidRPr="00382945" w:rsidRDefault="003319E2" w:rsidP="003319E2">
      <w:pPr>
        <w:autoSpaceDE w:val="0"/>
        <w:autoSpaceDN w:val="0"/>
        <w:adjustRightInd w:val="0"/>
        <w:spacing w:after="0" w:line="240" w:lineRule="auto"/>
        <w:rPr>
          <w:rFonts w:ascii="GulliverRM" w:hAnsi="GulliverRM" w:cs="GulliverRM"/>
          <w:color w:val="000000"/>
          <w:sz w:val="24"/>
          <w:szCs w:val="24"/>
          <w:highlight w:val="yellow"/>
        </w:rPr>
      </w:pPr>
      <w:r w:rsidRPr="00382945">
        <w:rPr>
          <w:rFonts w:ascii="GulliverRM" w:hAnsi="GulliverRM" w:cs="GulliverRM"/>
          <w:color w:val="000000"/>
          <w:sz w:val="24"/>
          <w:szCs w:val="24"/>
          <w:highlight w:val="yellow"/>
        </w:rPr>
        <w:t>“watching two or more episodes of the same series in a single</w:t>
      </w:r>
    </w:p>
    <w:p w14:paraId="274D2AC6" w14:textId="77777777" w:rsidR="003319E2" w:rsidRPr="00382945" w:rsidRDefault="003319E2" w:rsidP="003319E2">
      <w:pPr>
        <w:autoSpaceDE w:val="0"/>
        <w:autoSpaceDN w:val="0"/>
        <w:adjustRightInd w:val="0"/>
        <w:spacing w:after="0" w:line="240" w:lineRule="auto"/>
        <w:rPr>
          <w:rFonts w:ascii="GulliverRM" w:hAnsi="GulliverRM" w:cs="GulliverRM"/>
          <w:color w:val="000000"/>
          <w:sz w:val="24"/>
          <w:szCs w:val="24"/>
          <w:highlight w:val="yellow"/>
        </w:rPr>
      </w:pPr>
      <w:r w:rsidRPr="00382945">
        <w:rPr>
          <w:rFonts w:ascii="GulliverRM" w:hAnsi="GulliverRM" w:cs="GulliverRM"/>
          <w:color w:val="000000"/>
          <w:sz w:val="24"/>
          <w:szCs w:val="24"/>
          <w:highlight w:val="yellow"/>
        </w:rPr>
        <w:t>sitting, or watching one or more episodes of the same</w:t>
      </w:r>
    </w:p>
    <w:p w14:paraId="566EB855" w14:textId="77777777" w:rsidR="003319E2" w:rsidRPr="00382945" w:rsidRDefault="003319E2" w:rsidP="003319E2">
      <w:pPr>
        <w:autoSpaceDE w:val="0"/>
        <w:autoSpaceDN w:val="0"/>
        <w:adjustRightInd w:val="0"/>
        <w:spacing w:after="0" w:line="240" w:lineRule="auto"/>
        <w:rPr>
          <w:rFonts w:ascii="GulliverRM" w:hAnsi="GulliverRM" w:cs="GulliverRM"/>
          <w:color w:val="0081AD"/>
          <w:sz w:val="24"/>
          <w:szCs w:val="24"/>
          <w:highlight w:val="yellow"/>
        </w:rPr>
      </w:pPr>
      <w:r w:rsidRPr="00382945">
        <w:rPr>
          <w:rFonts w:ascii="GulliverRM" w:hAnsi="GulliverRM" w:cs="GulliverRM"/>
          <w:color w:val="000000"/>
          <w:sz w:val="24"/>
          <w:szCs w:val="24"/>
          <w:highlight w:val="yellow"/>
        </w:rPr>
        <w:t>series for several consecutive days” (</w:t>
      </w:r>
      <w:r w:rsidRPr="00382945">
        <w:rPr>
          <w:rFonts w:ascii="GulliverRM" w:hAnsi="GulliverRM" w:cs="GulliverRM"/>
          <w:color w:val="0081AD"/>
          <w:sz w:val="24"/>
          <w:szCs w:val="24"/>
          <w:highlight w:val="yellow"/>
        </w:rPr>
        <w:t>Pittman &amp; Sheehan,</w:t>
      </w:r>
    </w:p>
    <w:p w14:paraId="70A27CE0"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82945">
        <w:rPr>
          <w:rFonts w:ascii="GulliverRM" w:hAnsi="GulliverRM" w:cs="GulliverRM"/>
          <w:color w:val="0081AD"/>
          <w:sz w:val="24"/>
          <w:szCs w:val="24"/>
          <w:highlight w:val="yellow"/>
        </w:rPr>
        <w:t>2015, para. 26</w:t>
      </w:r>
      <w:r w:rsidRPr="00382945">
        <w:rPr>
          <w:rFonts w:ascii="GulliverRM" w:hAnsi="GulliverRM" w:cs="GulliverRM"/>
          <w:color w:val="000000"/>
          <w:sz w:val="24"/>
          <w:szCs w:val="24"/>
          <w:highlight w:val="yellow"/>
        </w:rPr>
        <w:t>).</w:t>
      </w:r>
      <w:r w:rsidRPr="003319E2">
        <w:rPr>
          <w:rFonts w:ascii="GulliverRM" w:hAnsi="GulliverRM" w:cs="GulliverRM"/>
          <w:color w:val="000000"/>
          <w:sz w:val="24"/>
          <w:szCs w:val="24"/>
        </w:rPr>
        <w:t xml:space="preserve"> One of the challenges of these definitions</w:t>
      </w:r>
    </w:p>
    <w:p w14:paraId="249DA213"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is that TV episodes vary in duration (e.g., some are 20 min,</w:t>
      </w:r>
    </w:p>
    <w:p w14:paraId="4E5F80C1"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 xml:space="preserve">some are 40+ min). </w:t>
      </w:r>
      <w:r w:rsidRPr="003319E2">
        <w:rPr>
          <w:rFonts w:ascii="GulliverRM" w:hAnsi="GulliverRM" w:cs="GulliverRM"/>
          <w:color w:val="0081AD"/>
          <w:sz w:val="24"/>
          <w:szCs w:val="24"/>
        </w:rPr>
        <w:t xml:space="preserve">Walton-Pattison et al. (2016) </w:t>
      </w:r>
      <w:r w:rsidRPr="003319E2">
        <w:rPr>
          <w:rFonts w:ascii="GulliverRM" w:hAnsi="GulliverRM" w:cs="GulliverRM"/>
          <w:color w:val="000000"/>
          <w:sz w:val="24"/>
          <w:szCs w:val="24"/>
        </w:rPr>
        <w:t>argued</w:t>
      </w:r>
    </w:p>
    <w:p w14:paraId="40DB3B63"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that a definition should include watching multiple episodes</w:t>
      </w:r>
    </w:p>
    <w:p w14:paraId="3582258C" w14:textId="77777777" w:rsidR="003319E2" w:rsidRPr="003319E2" w:rsidRDefault="003319E2" w:rsidP="003319E2">
      <w:pPr>
        <w:autoSpaceDE w:val="0"/>
        <w:autoSpaceDN w:val="0"/>
        <w:adjustRightInd w:val="0"/>
        <w:spacing w:after="0" w:line="240" w:lineRule="auto"/>
        <w:rPr>
          <w:rFonts w:ascii="GulliverRM" w:hAnsi="GulliverRM" w:cs="GulliverRM"/>
          <w:color w:val="0081AD"/>
          <w:sz w:val="24"/>
          <w:szCs w:val="24"/>
        </w:rPr>
      </w:pPr>
      <w:r w:rsidRPr="003319E2">
        <w:rPr>
          <w:rFonts w:ascii="GulliverRM" w:hAnsi="GulliverRM" w:cs="GulliverRM"/>
          <w:color w:val="000000"/>
          <w:sz w:val="24"/>
          <w:szCs w:val="24"/>
        </w:rPr>
        <w:t xml:space="preserve">of the same show consecutively. However, </w:t>
      </w:r>
      <w:r w:rsidRPr="003319E2">
        <w:rPr>
          <w:rFonts w:ascii="GulliverRM" w:hAnsi="GulliverRM" w:cs="GulliverRM"/>
          <w:color w:val="0081AD"/>
          <w:sz w:val="24"/>
          <w:szCs w:val="24"/>
        </w:rPr>
        <w:t>Jenner (2016)</w:t>
      </w:r>
    </w:p>
    <w:p w14:paraId="5CE74ADE"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wrote, “At any rate, what exactly constitutes a [TV] binge is</w:t>
      </w:r>
    </w:p>
    <w:p w14:paraId="30300CC7" w14:textId="77777777" w:rsidR="003319E2" w:rsidRPr="003319E2" w:rsidRDefault="003319E2" w:rsidP="003319E2">
      <w:pPr>
        <w:autoSpaceDE w:val="0"/>
        <w:autoSpaceDN w:val="0"/>
        <w:adjustRightInd w:val="0"/>
        <w:spacing w:after="0" w:line="240" w:lineRule="auto"/>
        <w:rPr>
          <w:rFonts w:ascii="GulliverRM" w:hAnsi="GulliverRM" w:cs="GulliverRM"/>
          <w:color w:val="000000"/>
          <w:sz w:val="24"/>
          <w:szCs w:val="24"/>
        </w:rPr>
      </w:pPr>
      <w:r w:rsidRPr="003319E2">
        <w:rPr>
          <w:rFonts w:ascii="GulliverRM" w:hAnsi="GulliverRM" w:cs="GulliverRM"/>
          <w:color w:val="000000"/>
          <w:sz w:val="24"/>
          <w:szCs w:val="24"/>
        </w:rPr>
        <w:t>likely to be different for everybody and defined through</w:t>
      </w:r>
    </w:p>
    <w:p w14:paraId="2C93EE62" w14:textId="3E66F7DF" w:rsidR="003319E2" w:rsidRPr="003319E2" w:rsidRDefault="003319E2" w:rsidP="003319E2">
      <w:pPr>
        <w:spacing w:line="360" w:lineRule="auto"/>
        <w:rPr>
          <w:rFonts w:ascii="David" w:hAnsi="David" w:cs="David"/>
          <w:b/>
          <w:bCs/>
          <w:sz w:val="40"/>
          <w:szCs w:val="40"/>
        </w:rPr>
      </w:pPr>
      <w:r w:rsidRPr="003319E2">
        <w:rPr>
          <w:rFonts w:ascii="GulliverRM" w:hAnsi="GulliverRM" w:cs="GulliverRM"/>
          <w:color w:val="000000"/>
          <w:sz w:val="24"/>
          <w:szCs w:val="24"/>
        </w:rPr>
        <w:t xml:space="preserve">highly </w:t>
      </w:r>
      <w:proofErr w:type="spellStart"/>
      <w:r w:rsidRPr="003319E2">
        <w:rPr>
          <w:rFonts w:ascii="GulliverRM" w:hAnsi="GulliverRM" w:cs="GulliverRM"/>
          <w:color w:val="000000"/>
          <w:sz w:val="24"/>
          <w:szCs w:val="24"/>
        </w:rPr>
        <w:t>individualised</w:t>
      </w:r>
      <w:proofErr w:type="spellEnd"/>
      <w:r w:rsidRPr="003319E2">
        <w:rPr>
          <w:rFonts w:ascii="GulliverRM" w:hAnsi="GulliverRM" w:cs="GulliverRM"/>
          <w:color w:val="000000"/>
          <w:sz w:val="24"/>
          <w:szCs w:val="24"/>
        </w:rPr>
        <w:t xml:space="preserve"> terms and practices” (p. 265).</w:t>
      </w:r>
    </w:p>
    <w:p w14:paraId="47D5E1A7" w14:textId="733E939D" w:rsidR="002F62B0" w:rsidRPr="000C403D" w:rsidRDefault="002F62B0" w:rsidP="002F62B0">
      <w:pPr>
        <w:bidi/>
        <w:spacing w:line="360" w:lineRule="auto"/>
        <w:rPr>
          <w:rFonts w:ascii="David" w:hAnsi="David" w:cs="David"/>
          <w:b/>
          <w:bCs/>
          <w:sz w:val="24"/>
          <w:szCs w:val="24"/>
        </w:rPr>
      </w:pPr>
    </w:p>
    <w:p w14:paraId="42B1E6F8" w14:textId="3DF69887" w:rsidR="002F62B0" w:rsidRPr="000C403D" w:rsidRDefault="002F62B0" w:rsidP="002F62B0">
      <w:pPr>
        <w:bidi/>
        <w:spacing w:line="360" w:lineRule="auto"/>
        <w:rPr>
          <w:rFonts w:ascii="David" w:hAnsi="David" w:cs="David"/>
          <w:b/>
          <w:bCs/>
          <w:sz w:val="24"/>
          <w:szCs w:val="24"/>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511AE" w14:textId="77777777" w:rsidR="003B6D7A" w:rsidRDefault="003B6D7A" w:rsidP="00D861A7">
      <w:pPr>
        <w:spacing w:after="0" w:line="240" w:lineRule="auto"/>
      </w:pPr>
      <w:r>
        <w:separator/>
      </w:r>
    </w:p>
  </w:endnote>
  <w:endnote w:type="continuationSeparator" w:id="0">
    <w:p w14:paraId="023BDF44" w14:textId="77777777" w:rsidR="003B6D7A" w:rsidRDefault="003B6D7A"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lliverR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563C5" w14:textId="77777777" w:rsidR="003B6D7A" w:rsidRDefault="003B6D7A" w:rsidP="00D861A7">
      <w:pPr>
        <w:spacing w:after="0" w:line="240" w:lineRule="auto"/>
      </w:pPr>
      <w:r>
        <w:separator/>
      </w:r>
    </w:p>
  </w:footnote>
  <w:footnote w:type="continuationSeparator" w:id="0">
    <w:p w14:paraId="438CB602" w14:textId="77777777" w:rsidR="003B6D7A" w:rsidRDefault="003B6D7A"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2C8E"/>
    <w:rsid w:val="00052A7B"/>
    <w:rsid w:val="00071369"/>
    <w:rsid w:val="00077663"/>
    <w:rsid w:val="00083C9A"/>
    <w:rsid w:val="000A4381"/>
    <w:rsid w:val="000C403D"/>
    <w:rsid w:val="000D18C7"/>
    <w:rsid w:val="000D7D45"/>
    <w:rsid w:val="000E0312"/>
    <w:rsid w:val="000F7EC8"/>
    <w:rsid w:val="00143EE5"/>
    <w:rsid w:val="0016238C"/>
    <w:rsid w:val="001A4B58"/>
    <w:rsid w:val="001B2F66"/>
    <w:rsid w:val="001D2D4B"/>
    <w:rsid w:val="0023540F"/>
    <w:rsid w:val="002445A3"/>
    <w:rsid w:val="00255AA5"/>
    <w:rsid w:val="002579A7"/>
    <w:rsid w:val="0026622E"/>
    <w:rsid w:val="0027118A"/>
    <w:rsid w:val="002A1670"/>
    <w:rsid w:val="002D1C4F"/>
    <w:rsid w:val="002D3DAD"/>
    <w:rsid w:val="002E0EAF"/>
    <w:rsid w:val="002F3CF6"/>
    <w:rsid w:val="002F62B0"/>
    <w:rsid w:val="00301AE1"/>
    <w:rsid w:val="003319E2"/>
    <w:rsid w:val="003429F4"/>
    <w:rsid w:val="00382945"/>
    <w:rsid w:val="003846CC"/>
    <w:rsid w:val="003B6D7A"/>
    <w:rsid w:val="003D75E0"/>
    <w:rsid w:val="003E3464"/>
    <w:rsid w:val="003F5588"/>
    <w:rsid w:val="00461087"/>
    <w:rsid w:val="004B313C"/>
    <w:rsid w:val="004C6630"/>
    <w:rsid w:val="004D1AFD"/>
    <w:rsid w:val="004D26C1"/>
    <w:rsid w:val="00533749"/>
    <w:rsid w:val="00536606"/>
    <w:rsid w:val="00544CD1"/>
    <w:rsid w:val="00552DC8"/>
    <w:rsid w:val="00554636"/>
    <w:rsid w:val="0059408D"/>
    <w:rsid w:val="00595514"/>
    <w:rsid w:val="005F0AEC"/>
    <w:rsid w:val="00606B3A"/>
    <w:rsid w:val="00615E2D"/>
    <w:rsid w:val="006303AD"/>
    <w:rsid w:val="00652279"/>
    <w:rsid w:val="00674BE9"/>
    <w:rsid w:val="00686808"/>
    <w:rsid w:val="006A2162"/>
    <w:rsid w:val="006A698F"/>
    <w:rsid w:val="006A78E0"/>
    <w:rsid w:val="006B66D9"/>
    <w:rsid w:val="00772C3B"/>
    <w:rsid w:val="00795FCA"/>
    <w:rsid w:val="00797732"/>
    <w:rsid w:val="007A2E6E"/>
    <w:rsid w:val="007E15EF"/>
    <w:rsid w:val="007E7BAB"/>
    <w:rsid w:val="007F59C4"/>
    <w:rsid w:val="007F6878"/>
    <w:rsid w:val="00803B55"/>
    <w:rsid w:val="00895FC7"/>
    <w:rsid w:val="008A64BB"/>
    <w:rsid w:val="008A7090"/>
    <w:rsid w:val="008E5955"/>
    <w:rsid w:val="009333D6"/>
    <w:rsid w:val="009579D3"/>
    <w:rsid w:val="0096781D"/>
    <w:rsid w:val="00995B43"/>
    <w:rsid w:val="00A2653C"/>
    <w:rsid w:val="00A26C8B"/>
    <w:rsid w:val="00A3506C"/>
    <w:rsid w:val="00A66A8D"/>
    <w:rsid w:val="00A73E00"/>
    <w:rsid w:val="00A75C69"/>
    <w:rsid w:val="00A831E4"/>
    <w:rsid w:val="00A925F9"/>
    <w:rsid w:val="00AA1EE9"/>
    <w:rsid w:val="00AC75F1"/>
    <w:rsid w:val="00AD7CE1"/>
    <w:rsid w:val="00B048E5"/>
    <w:rsid w:val="00B07B2D"/>
    <w:rsid w:val="00B23D73"/>
    <w:rsid w:val="00B30655"/>
    <w:rsid w:val="00B56D41"/>
    <w:rsid w:val="00B634BA"/>
    <w:rsid w:val="00B85C90"/>
    <w:rsid w:val="00B85EA8"/>
    <w:rsid w:val="00BA3DA9"/>
    <w:rsid w:val="00BC2A21"/>
    <w:rsid w:val="00BD6C58"/>
    <w:rsid w:val="00BF3903"/>
    <w:rsid w:val="00C3013D"/>
    <w:rsid w:val="00C31847"/>
    <w:rsid w:val="00C46939"/>
    <w:rsid w:val="00C95DFF"/>
    <w:rsid w:val="00CE37EE"/>
    <w:rsid w:val="00D17D8F"/>
    <w:rsid w:val="00D303EB"/>
    <w:rsid w:val="00D30578"/>
    <w:rsid w:val="00D6287A"/>
    <w:rsid w:val="00D711C1"/>
    <w:rsid w:val="00D861A7"/>
    <w:rsid w:val="00D92595"/>
    <w:rsid w:val="00DF2FC2"/>
    <w:rsid w:val="00E04D5A"/>
    <w:rsid w:val="00E1490F"/>
    <w:rsid w:val="00E25255"/>
    <w:rsid w:val="00E606F4"/>
    <w:rsid w:val="00E87312"/>
    <w:rsid w:val="00E90C30"/>
    <w:rsid w:val="00EE6EDF"/>
    <w:rsid w:val="00F01402"/>
    <w:rsid w:val="00F047DC"/>
    <w:rsid w:val="00F32DE7"/>
    <w:rsid w:val="00F36026"/>
    <w:rsid w:val="00F449DE"/>
    <w:rsid w:val="00F45201"/>
    <w:rsid w:val="00F6690A"/>
    <w:rsid w:val="00F73525"/>
    <w:rsid w:val="00FA34C8"/>
    <w:rsid w:val="00FA69AE"/>
    <w:rsid w:val="00FB18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4798</TotalTime>
  <Pages>11</Pages>
  <Words>783</Words>
  <Characters>4466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115</cp:revision>
  <dcterms:created xsi:type="dcterms:W3CDTF">2021-08-07T14:09:00Z</dcterms:created>
  <dcterms:modified xsi:type="dcterms:W3CDTF">2021-09-06T14:42:00Z</dcterms:modified>
</cp:coreProperties>
</file>