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48134">
      <w:pPr>
        <w:spacing w:before="0" w:after="30" w:line="288" w:lineRule="auto"/>
        <w:jc w:val="center"/>
      </w:pPr>
      <w:r>
        <w:rPr>
          <w:rFonts w:ascii="Times New Roman" w:hAnsi="Times New Roman"/>
          <w:b/>
          <w:i w:val="0"/>
          <w:color w:val="000000"/>
          <w:sz w:val="25"/>
        </w:rPr>
        <w:t>HO CHI MINH CITY UNIVERSITY OF TECHNOLOGY AND ENGINEERING</w:t>
      </w:r>
    </w:p>
    <w:p w14:paraId="03AF8236">
      <w:pPr>
        <w:spacing w:before="0" w:after="30" w:line="288" w:lineRule="auto"/>
        <w:jc w:val="center"/>
      </w:pPr>
      <w:r>
        <w:rPr>
          <w:rFonts w:ascii="Times New Roman" w:hAnsi="Times New Roman"/>
          <w:b/>
          <w:i w:val="0"/>
          <w:color w:val="000000"/>
          <w:sz w:val="26"/>
        </w:rPr>
        <w:t>FACULTY OF ADVANCED EDUCATION</w:t>
      </w:r>
    </w:p>
    <w:p w14:paraId="44DE55A8">
      <w:pPr>
        <w:spacing w:before="0" w:after="700" w:line="288" w:lineRule="auto"/>
        <w:jc w:val="center"/>
        <w:rPr>
          <w:rFonts w:ascii="Times New Roman" w:hAnsi="Times New Roman"/>
          <w:b/>
          <w:i w:val="0"/>
          <w:color w:val="000000"/>
          <w:sz w:val="22"/>
        </w:rPr>
      </w:pPr>
      <w:r>
        <w:rPr>
          <w:rFonts w:ascii="Times New Roman" w:hAnsi="Times New Roman"/>
          <w:b/>
          <w:i w:val="0"/>
          <w:color w:val="000000"/>
          <w:sz w:val="22"/>
        </w:rPr>
        <w:t>----------------------------------------</w:t>
      </w:r>
    </w:p>
    <w:p w14:paraId="59E17378">
      <w:pPr>
        <w:spacing w:before="0" w:after="700" w:line="288" w:lineRule="auto"/>
        <w:jc w:val="center"/>
        <w:rPr>
          <w:rFonts w:ascii="Times New Roman" w:hAnsi="Times New Roman"/>
          <w:b/>
          <w:i w:val="0"/>
          <w:color w:val="000000"/>
          <w:sz w:val="22"/>
        </w:rPr>
      </w:pPr>
      <w:r>
        <w:rPr>
          <w:rFonts w:ascii="Times New Roman" w:hAnsi="Times New Roman" w:cs="Times New Roman"/>
          <w:b/>
          <w:sz w:val="26"/>
          <w:szCs w:val="26"/>
        </w:rPr>
        <w:drawing>
          <wp:inline distT="0" distB="0" distL="0" distR="0">
            <wp:extent cx="1645920" cy="1828800"/>
            <wp:effectExtent l="0" t="0" r="11430" b="0"/>
            <wp:docPr id="37265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200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9241" r="8363" b="8588"/>
                    <a:stretch>
                      <a:fillRect/>
                    </a:stretch>
                  </pic:blipFill>
                  <pic:spPr>
                    <a:xfrm>
                      <a:off x="0" y="0"/>
                      <a:ext cx="1645920" cy="1828800"/>
                    </a:xfrm>
                    <a:prstGeom prst="rect">
                      <a:avLst/>
                    </a:prstGeom>
                    <a:noFill/>
                    <a:ln>
                      <a:noFill/>
                    </a:ln>
                  </pic:spPr>
                </pic:pic>
              </a:graphicData>
            </a:graphic>
          </wp:inline>
        </w:drawing>
      </w:r>
      <w:bookmarkStart w:id="0" w:name="_GoBack"/>
      <w:bookmarkEnd w:id="0"/>
    </w:p>
    <w:p w14:paraId="389AB8A9">
      <w:pPr>
        <w:spacing w:before="0" w:after="80" w:line="288" w:lineRule="auto"/>
        <w:jc w:val="center"/>
      </w:pPr>
      <w:r>
        <w:rPr>
          <w:rFonts w:ascii="Times New Roman" w:hAnsi="Times New Roman"/>
          <w:b/>
          <w:i w:val="0"/>
          <w:color w:val="000000"/>
          <w:sz w:val="34"/>
        </w:rPr>
        <w:t>FINAL PROJECT REPORT</w:t>
      </w:r>
    </w:p>
    <w:p w14:paraId="2B853377">
      <w:pPr>
        <w:spacing w:before="0" w:after="560" w:line="288" w:lineRule="auto"/>
        <w:jc w:val="center"/>
      </w:pPr>
      <w:r>
        <w:rPr>
          <w:rFonts w:ascii="Times New Roman" w:hAnsi="Times New Roman"/>
          <w:b/>
          <w:i w:val="0"/>
          <w:color w:val="000000"/>
          <w:sz w:val="27"/>
        </w:rPr>
        <w:t>COURSE: AI PROGRAMMING WITH PYTHON</w:t>
      </w:r>
    </w:p>
    <w:p w14:paraId="6CBC6D31">
      <w:pPr>
        <w:spacing w:before="0" w:after="60" w:line="288" w:lineRule="auto"/>
        <w:jc w:val="center"/>
        <w:rPr>
          <w:rFonts w:hint="default"/>
          <w:lang w:val="vi-VN"/>
        </w:rPr>
      </w:pPr>
      <w:r>
        <w:rPr>
          <w:rFonts w:ascii="Times New Roman" w:hAnsi="Times New Roman"/>
          <w:b/>
          <w:i w:val="0"/>
          <w:color w:val="000000"/>
          <w:sz w:val="29"/>
        </w:rPr>
        <w:t>PROJECT</w:t>
      </w:r>
      <w:r>
        <w:rPr>
          <w:rFonts w:hint="default" w:ascii="Times New Roman" w:hAnsi="Times New Roman"/>
          <w:b/>
          <w:i w:val="0"/>
          <w:color w:val="000000"/>
          <w:sz w:val="29"/>
          <w:lang w:val="vi-VN"/>
        </w:rPr>
        <w:t>:</w:t>
      </w:r>
    </w:p>
    <w:p w14:paraId="23DD2538">
      <w:pPr>
        <w:spacing w:before="0" w:after="60" w:line="288" w:lineRule="auto"/>
        <w:jc w:val="center"/>
      </w:pPr>
      <w:r>
        <w:rPr>
          <w:rFonts w:ascii="Times New Roman" w:hAnsi="Times New Roman"/>
          <w:b/>
          <w:i w:val="0"/>
          <w:color w:val="000000"/>
          <w:sz w:val="30"/>
        </w:rPr>
        <w:t>SOCIAL WORK REGULATIONS AND PROCEDURES ASSISTANT</w:t>
      </w:r>
    </w:p>
    <w:p w14:paraId="700B5903">
      <w:pPr>
        <w:spacing w:before="0" w:after="40" w:line="288" w:lineRule="auto"/>
        <w:jc w:val="center"/>
      </w:pPr>
      <w:r>
        <w:rPr>
          <w:rFonts w:ascii="Times New Roman" w:hAnsi="Times New Roman"/>
          <w:b/>
          <w:i w:val="0"/>
          <w:color w:val="000000"/>
          <w:sz w:val="26"/>
        </w:rPr>
        <w:t>MULTI-VERSION REGULATION RETRIEVAL, POINT CONVERSION COMPUTATION,</w:t>
      </w:r>
    </w:p>
    <w:p w14:paraId="5965100C">
      <w:pPr>
        <w:spacing w:before="0" w:after="800" w:line="288" w:lineRule="auto"/>
        <w:jc w:val="center"/>
      </w:pPr>
      <w:r>
        <w:rPr>
          <w:rFonts w:ascii="Times New Roman" w:hAnsi="Times New Roman"/>
          <w:b/>
          <w:i w:val="0"/>
          <w:color w:val="000000"/>
          <w:sz w:val="26"/>
        </w:rPr>
        <w:t>AND ACTION EXECUTION VIA MODEL CONTEXT PROTOCOL (MCP)</w:t>
      </w:r>
    </w:p>
    <w:tbl>
      <w:tblPr>
        <w:tblStyle w:val="12"/>
        <w:tblW w:w="0" w:type="auto"/>
        <w:jc w:val="center"/>
        <w:tblLayout w:type="autofit"/>
        <w:tblCellMar>
          <w:top w:w="0" w:type="dxa"/>
          <w:left w:w="108" w:type="dxa"/>
          <w:bottom w:w="0" w:type="dxa"/>
          <w:right w:w="108" w:type="dxa"/>
        </w:tblCellMar>
      </w:tblPr>
      <w:tblGrid>
        <w:gridCol w:w="3685"/>
        <w:gridCol w:w="5386"/>
      </w:tblGrid>
      <w:tr w14:paraId="03AAEC49">
        <w:tblPrEx>
          <w:tblCellMar>
            <w:top w:w="0" w:type="dxa"/>
            <w:left w:w="108" w:type="dxa"/>
            <w:bottom w:w="0" w:type="dxa"/>
            <w:right w:w="108" w:type="dxa"/>
          </w:tblCellMar>
        </w:tblPrEx>
        <w:trPr>
          <w:jc w:val="center"/>
        </w:trPr>
        <w:tc>
          <w:tcPr>
            <w:tcW w:w="3685" w:type="dxa"/>
            <w:tcMar>
              <w:top w:w="40" w:type="dxa"/>
              <w:left w:w="60" w:type="dxa"/>
              <w:bottom w:w="40" w:type="dxa"/>
              <w:right w:w="60" w:type="dxa"/>
            </w:tcMar>
          </w:tcPr>
          <w:p w14:paraId="3EFCA85B">
            <w:pPr>
              <w:spacing w:after="40"/>
            </w:pPr>
            <w:r>
              <w:rPr>
                <w:rFonts w:ascii="Times New Roman" w:hAnsi="Times New Roman"/>
                <w:b/>
                <w:color w:val="000000"/>
                <w:sz w:val="23"/>
              </w:rPr>
              <w:t>Supervisor:</w:t>
            </w:r>
          </w:p>
        </w:tc>
        <w:tc>
          <w:tcPr>
            <w:tcW w:w="5386" w:type="dxa"/>
            <w:tcMar>
              <w:top w:w="40" w:type="dxa"/>
              <w:left w:w="60" w:type="dxa"/>
              <w:bottom w:w="40" w:type="dxa"/>
              <w:right w:w="60" w:type="dxa"/>
            </w:tcMar>
          </w:tcPr>
          <w:p w14:paraId="626BA106">
            <w:pPr>
              <w:spacing w:after="40"/>
            </w:pPr>
            <w:r>
              <w:rPr>
                <w:rFonts w:ascii="Times New Roman" w:hAnsi="Times New Roman"/>
                <w:color w:val="000000"/>
                <w:sz w:val="23"/>
              </w:rPr>
              <w:t>Mr. Nguyễn Đăng Quang</w:t>
            </w:r>
          </w:p>
        </w:tc>
      </w:tr>
      <w:tr w14:paraId="5D2364D8">
        <w:tblPrEx>
          <w:tblCellMar>
            <w:top w:w="0" w:type="dxa"/>
            <w:left w:w="108" w:type="dxa"/>
            <w:bottom w:w="0" w:type="dxa"/>
            <w:right w:w="108" w:type="dxa"/>
          </w:tblCellMar>
        </w:tblPrEx>
        <w:trPr>
          <w:jc w:val="center"/>
        </w:trPr>
        <w:tc>
          <w:tcPr>
            <w:tcW w:w="3685" w:type="dxa"/>
            <w:tcMar>
              <w:top w:w="40" w:type="dxa"/>
              <w:left w:w="60" w:type="dxa"/>
              <w:bottom w:w="40" w:type="dxa"/>
              <w:right w:w="60" w:type="dxa"/>
            </w:tcMar>
          </w:tcPr>
          <w:p w14:paraId="652AB07D">
            <w:pPr>
              <w:spacing w:after="40"/>
            </w:pPr>
            <w:r>
              <w:rPr>
                <w:rFonts w:ascii="Times New Roman" w:hAnsi="Times New Roman"/>
                <w:b/>
                <w:color w:val="000000"/>
                <w:sz w:val="23"/>
              </w:rPr>
              <w:t>Course Class ID:</w:t>
            </w:r>
          </w:p>
        </w:tc>
        <w:tc>
          <w:tcPr>
            <w:tcW w:w="5386" w:type="dxa"/>
            <w:tcMar>
              <w:top w:w="40" w:type="dxa"/>
              <w:left w:w="60" w:type="dxa"/>
              <w:bottom w:w="40" w:type="dxa"/>
              <w:right w:w="60" w:type="dxa"/>
            </w:tcMar>
          </w:tcPr>
          <w:p w14:paraId="4273218F">
            <w:pPr>
              <w:spacing w:after="40"/>
            </w:pPr>
            <w:r>
              <w:rPr>
                <w:rFonts w:ascii="Times New Roman" w:hAnsi="Times New Roman"/>
                <w:color w:val="000000"/>
                <w:sz w:val="23"/>
              </w:rPr>
              <w:t>AI Programming with Python_02FIE</w:t>
            </w:r>
          </w:p>
        </w:tc>
      </w:tr>
      <w:tr w14:paraId="0441CEF0">
        <w:tblPrEx>
          <w:tblCellMar>
            <w:top w:w="0" w:type="dxa"/>
            <w:left w:w="108" w:type="dxa"/>
            <w:bottom w:w="0" w:type="dxa"/>
            <w:right w:w="108" w:type="dxa"/>
          </w:tblCellMar>
        </w:tblPrEx>
        <w:trPr>
          <w:jc w:val="center"/>
        </w:trPr>
        <w:tc>
          <w:tcPr>
            <w:tcW w:w="3685" w:type="dxa"/>
            <w:tcMar>
              <w:top w:w="40" w:type="dxa"/>
              <w:left w:w="60" w:type="dxa"/>
              <w:bottom w:w="40" w:type="dxa"/>
              <w:right w:w="60" w:type="dxa"/>
            </w:tcMar>
          </w:tcPr>
          <w:p w14:paraId="4912AF6C">
            <w:pPr>
              <w:spacing w:after="40"/>
            </w:pPr>
            <w:r>
              <w:rPr>
                <w:rFonts w:ascii="Times New Roman" w:hAnsi="Times New Roman"/>
                <w:b/>
                <w:color w:val="000000"/>
                <w:sz w:val="23"/>
              </w:rPr>
              <w:t>Student Member 1:</w:t>
            </w:r>
          </w:p>
        </w:tc>
        <w:tc>
          <w:tcPr>
            <w:tcW w:w="5386" w:type="dxa"/>
            <w:tcMar>
              <w:top w:w="40" w:type="dxa"/>
              <w:left w:w="60" w:type="dxa"/>
              <w:bottom w:w="40" w:type="dxa"/>
              <w:right w:w="60" w:type="dxa"/>
            </w:tcMar>
          </w:tcPr>
          <w:p w14:paraId="394ABEF1">
            <w:pPr>
              <w:spacing w:after="40"/>
            </w:pPr>
            <w:r>
              <w:rPr>
                <w:rFonts w:ascii="Times New Roman" w:hAnsi="Times New Roman"/>
                <w:color w:val="000000"/>
                <w:sz w:val="23"/>
              </w:rPr>
              <w:t>Đoàn Trọng Trung — Student ID: 24110140</w:t>
            </w:r>
          </w:p>
        </w:tc>
      </w:tr>
      <w:tr w14:paraId="4E18D06A">
        <w:tblPrEx>
          <w:tblCellMar>
            <w:top w:w="0" w:type="dxa"/>
            <w:left w:w="108" w:type="dxa"/>
            <w:bottom w:w="0" w:type="dxa"/>
            <w:right w:w="108" w:type="dxa"/>
          </w:tblCellMar>
        </w:tblPrEx>
        <w:trPr>
          <w:jc w:val="center"/>
        </w:trPr>
        <w:tc>
          <w:tcPr>
            <w:tcW w:w="3685" w:type="dxa"/>
            <w:tcMar>
              <w:top w:w="40" w:type="dxa"/>
              <w:left w:w="60" w:type="dxa"/>
              <w:bottom w:w="40" w:type="dxa"/>
              <w:right w:w="60" w:type="dxa"/>
            </w:tcMar>
          </w:tcPr>
          <w:p w14:paraId="2867AAA7">
            <w:pPr>
              <w:spacing w:after="40"/>
            </w:pPr>
            <w:r>
              <w:rPr>
                <w:rFonts w:ascii="Times New Roman" w:hAnsi="Times New Roman"/>
                <w:b/>
                <w:color w:val="000000"/>
                <w:sz w:val="23"/>
              </w:rPr>
              <w:t>Student Member 2:</w:t>
            </w:r>
          </w:p>
        </w:tc>
        <w:tc>
          <w:tcPr>
            <w:tcW w:w="5386" w:type="dxa"/>
            <w:tcMar>
              <w:top w:w="40" w:type="dxa"/>
              <w:left w:w="60" w:type="dxa"/>
              <w:bottom w:w="40" w:type="dxa"/>
              <w:right w:w="60" w:type="dxa"/>
            </w:tcMar>
          </w:tcPr>
          <w:p w14:paraId="71CF524D">
            <w:pPr>
              <w:spacing w:after="40"/>
            </w:pPr>
            <w:r>
              <w:rPr>
                <w:rFonts w:ascii="Times New Roman" w:hAnsi="Times New Roman"/>
                <w:color w:val="000000"/>
                <w:sz w:val="23"/>
              </w:rPr>
              <w:t>Khổng Đình Tú — Student ID: 24110145</w:t>
            </w:r>
          </w:p>
        </w:tc>
      </w:tr>
      <w:tr w14:paraId="2FE36D3A">
        <w:tblPrEx>
          <w:tblCellMar>
            <w:top w:w="0" w:type="dxa"/>
            <w:left w:w="108" w:type="dxa"/>
            <w:bottom w:w="0" w:type="dxa"/>
            <w:right w:w="108" w:type="dxa"/>
          </w:tblCellMar>
        </w:tblPrEx>
        <w:trPr>
          <w:jc w:val="center"/>
        </w:trPr>
        <w:tc>
          <w:tcPr>
            <w:tcW w:w="3685" w:type="dxa"/>
            <w:tcMar>
              <w:top w:w="40" w:type="dxa"/>
              <w:left w:w="60" w:type="dxa"/>
              <w:bottom w:w="40" w:type="dxa"/>
              <w:right w:w="60" w:type="dxa"/>
            </w:tcMar>
          </w:tcPr>
          <w:p w14:paraId="49E0F68E">
            <w:pPr>
              <w:spacing w:after="40"/>
            </w:pPr>
            <w:r>
              <w:rPr>
                <w:rFonts w:ascii="Times New Roman" w:hAnsi="Times New Roman"/>
                <w:b/>
                <w:color w:val="000000"/>
                <w:sz w:val="23"/>
              </w:rPr>
              <w:t>Student Member 3:</w:t>
            </w:r>
          </w:p>
        </w:tc>
        <w:tc>
          <w:tcPr>
            <w:tcW w:w="5386" w:type="dxa"/>
            <w:tcMar>
              <w:top w:w="40" w:type="dxa"/>
              <w:left w:w="60" w:type="dxa"/>
              <w:bottom w:w="40" w:type="dxa"/>
              <w:right w:w="60" w:type="dxa"/>
            </w:tcMar>
          </w:tcPr>
          <w:p w14:paraId="66E47B55">
            <w:pPr>
              <w:spacing w:after="40"/>
            </w:pPr>
            <w:r>
              <w:rPr>
                <w:rFonts w:ascii="Times New Roman" w:hAnsi="Times New Roman"/>
                <w:color w:val="000000"/>
                <w:sz w:val="23"/>
              </w:rPr>
              <w:t>Phạm Thế Việt — Student ID: 24110147</w:t>
            </w:r>
          </w:p>
        </w:tc>
      </w:tr>
    </w:tbl>
    <w:p w14:paraId="20DDCFC1">
      <w:pPr>
        <w:spacing w:before="0" w:after="900" w:line="288" w:lineRule="auto"/>
        <w:jc w:val="both"/>
      </w:pPr>
    </w:p>
    <w:p w14:paraId="3B419764">
      <w:pPr>
        <w:spacing w:before="0" w:after="0" w:line="288" w:lineRule="auto"/>
        <w:jc w:val="center"/>
      </w:pPr>
      <w:r>
        <w:rPr>
          <w:rFonts w:hint="default" w:ascii="Times New Roman" w:hAnsi="Times New Roman"/>
          <w:b/>
          <w:i w:val="0"/>
          <w:color w:val="000000"/>
          <w:sz w:val="24"/>
          <w:lang w:val="vi-VN"/>
        </w:rPr>
        <w:t xml:space="preserve">                                                                        </w:t>
      </w:r>
      <w:r>
        <w:rPr>
          <w:rFonts w:ascii="Times New Roman" w:hAnsi="Times New Roman"/>
          <w:b/>
          <w:i w:val="0"/>
          <w:color w:val="000000"/>
          <w:sz w:val="24"/>
        </w:rPr>
        <w:t>HO CHI MINH CITY, OCTOBER 2026</w:t>
      </w:r>
    </w:p>
    <w:p w14:paraId="7C7501AA">
      <w:r>
        <w:br w:type="page"/>
      </w:r>
    </w:p>
    <w:p w14:paraId="1356EE93">
      <w:pPr>
        <w:sectPr>
          <w:pgSz w:w="11906" w:h="16838"/>
          <w:pgMar w:top="1134" w:right="1134" w:bottom="1134" w:left="1417" w:header="720" w:footer="720" w:gutter="0"/>
          <w:cols w:space="720" w:num="1"/>
          <w:titlePg/>
          <w:docGrid w:linePitch="360" w:charSpace="0"/>
        </w:sectPr>
      </w:pPr>
    </w:p>
    <w:p w14:paraId="652F953C">
      <w:pPr>
        <w:spacing w:before="160" w:after="200"/>
        <w:jc w:val="center"/>
      </w:pPr>
      <w:r>
        <w:rPr>
          <w:rFonts w:ascii="Times New Roman" w:hAnsi="Times New Roman"/>
          <w:b/>
          <w:color w:val="000000"/>
          <w:sz w:val="28"/>
        </w:rPr>
        <w:t>TABLE OF CONTENTS</w:t>
      </w:r>
    </w:p>
    <w:p w14:paraId="15222D66">
      <w:pPr>
        <w:tabs>
          <w:tab w:val="right" w:leader="dot" w:pos="9354"/>
        </w:tabs>
        <w:spacing w:before="30" w:after="30" w:line="276" w:lineRule="auto"/>
        <w:ind w:left="0"/>
      </w:pPr>
      <w:r>
        <w:rPr>
          <w:rFonts w:ascii="Times New Roman" w:hAnsi="Times New Roman"/>
          <w:b/>
          <w:color w:val="000000"/>
          <w:sz w:val="20"/>
        </w:rPr>
        <w:t>CHAPTER 1: PROJECT OVERVIEW &amp; REQUIREMENTS ANALYSIS</w:t>
      </w:r>
      <w:r>
        <w:rPr>
          <w:rFonts w:ascii="Times New Roman" w:hAnsi="Times New Roman"/>
          <w:b/>
          <w:color w:val="000000"/>
          <w:sz w:val="20"/>
        </w:rPr>
        <w:tab/>
      </w:r>
      <w:r>
        <w:rPr>
          <w:rFonts w:ascii="Times New Roman" w:hAnsi="Times New Roman"/>
          <w:b/>
          <w:color w:val="000000"/>
          <w:sz w:val="20"/>
        </w:rPr>
        <w:t>3</w:t>
      </w:r>
    </w:p>
    <w:p w14:paraId="72FFDB40">
      <w:pPr>
        <w:tabs>
          <w:tab w:val="right" w:leader="dot" w:pos="9354"/>
        </w:tabs>
        <w:spacing w:before="10" w:after="10" w:line="276" w:lineRule="auto"/>
        <w:ind w:left="283"/>
      </w:pPr>
      <w:r>
        <w:rPr>
          <w:rFonts w:ascii="Times New Roman" w:hAnsi="Times New Roman"/>
          <w:b w:val="0"/>
          <w:color w:val="000000"/>
          <w:sz w:val="18"/>
        </w:rPr>
        <w:t>1.1. Practical Context and Research Motivation at HCMUTE</w:t>
      </w:r>
      <w:r>
        <w:rPr>
          <w:rFonts w:ascii="Times New Roman" w:hAnsi="Times New Roman"/>
          <w:b w:val="0"/>
          <w:color w:val="000000"/>
          <w:sz w:val="18"/>
        </w:rPr>
        <w:tab/>
      </w:r>
      <w:r>
        <w:rPr>
          <w:rFonts w:ascii="Times New Roman" w:hAnsi="Times New Roman"/>
          <w:b w:val="0"/>
          <w:color w:val="000000"/>
          <w:sz w:val="18"/>
        </w:rPr>
        <w:t>3</w:t>
      </w:r>
    </w:p>
    <w:p w14:paraId="307E78D5">
      <w:pPr>
        <w:tabs>
          <w:tab w:val="right" w:leader="dot" w:pos="9354"/>
        </w:tabs>
        <w:spacing w:before="10" w:after="10" w:line="276" w:lineRule="auto"/>
        <w:ind w:left="283"/>
      </w:pPr>
      <w:r>
        <w:rPr>
          <w:rFonts w:ascii="Times New Roman" w:hAnsi="Times New Roman"/>
          <w:b w:val="0"/>
          <w:color w:val="000000"/>
          <w:sz w:val="18"/>
        </w:rPr>
        <w:t>1.2. Inherent Challenges for Large Language Models (LLMs)</w:t>
      </w:r>
      <w:r>
        <w:rPr>
          <w:rFonts w:ascii="Times New Roman" w:hAnsi="Times New Roman"/>
          <w:b w:val="0"/>
          <w:color w:val="000000"/>
          <w:sz w:val="18"/>
        </w:rPr>
        <w:tab/>
      </w:r>
      <w:r>
        <w:rPr>
          <w:rFonts w:ascii="Times New Roman" w:hAnsi="Times New Roman"/>
          <w:b w:val="0"/>
          <w:color w:val="000000"/>
          <w:sz w:val="18"/>
        </w:rPr>
        <w:t>3</w:t>
      </w:r>
    </w:p>
    <w:p w14:paraId="087009AF">
      <w:pPr>
        <w:tabs>
          <w:tab w:val="right" w:leader="dot" w:pos="9354"/>
        </w:tabs>
        <w:spacing w:before="10" w:after="10" w:line="276" w:lineRule="auto"/>
        <w:ind w:left="283"/>
      </w:pPr>
      <w:r>
        <w:rPr>
          <w:rFonts w:ascii="Times New Roman" w:hAnsi="Times New Roman"/>
          <w:b w:val="0"/>
          <w:color w:val="000000"/>
          <w:sz w:val="18"/>
        </w:rPr>
        <w:t>1.3. Project Objectives &amp; 3 Mandatory Architectural Layers</w:t>
      </w:r>
      <w:r>
        <w:rPr>
          <w:rFonts w:ascii="Times New Roman" w:hAnsi="Times New Roman"/>
          <w:b w:val="0"/>
          <w:color w:val="000000"/>
          <w:sz w:val="18"/>
        </w:rPr>
        <w:tab/>
      </w:r>
      <w:r>
        <w:rPr>
          <w:rFonts w:ascii="Times New Roman" w:hAnsi="Times New Roman"/>
          <w:b w:val="0"/>
          <w:color w:val="000000"/>
          <w:sz w:val="18"/>
        </w:rPr>
        <w:t>3</w:t>
      </w:r>
    </w:p>
    <w:p w14:paraId="17BD5E85">
      <w:pPr>
        <w:tabs>
          <w:tab w:val="right" w:leader="dot" w:pos="9354"/>
        </w:tabs>
        <w:spacing w:before="30" w:after="30" w:line="276" w:lineRule="auto"/>
        <w:ind w:left="0"/>
      </w:pPr>
      <w:r>
        <w:rPr>
          <w:rFonts w:ascii="Times New Roman" w:hAnsi="Times New Roman"/>
          <w:b/>
          <w:color w:val="000000"/>
          <w:sz w:val="20"/>
        </w:rPr>
        <w:t>CHAPTER 2: SYSTEM ARCHITECTURE &amp; REACT AGENT MECHANISM</w:t>
      </w:r>
      <w:r>
        <w:rPr>
          <w:rFonts w:ascii="Times New Roman" w:hAnsi="Times New Roman"/>
          <w:b/>
          <w:color w:val="000000"/>
          <w:sz w:val="20"/>
        </w:rPr>
        <w:tab/>
      </w:r>
      <w:r>
        <w:rPr>
          <w:rFonts w:ascii="Times New Roman" w:hAnsi="Times New Roman"/>
          <w:b/>
          <w:color w:val="000000"/>
          <w:sz w:val="20"/>
        </w:rPr>
        <w:t>4</w:t>
      </w:r>
    </w:p>
    <w:p w14:paraId="04310F99">
      <w:pPr>
        <w:tabs>
          <w:tab w:val="right" w:leader="dot" w:pos="9354"/>
        </w:tabs>
        <w:spacing w:before="10" w:after="10" w:line="276" w:lineRule="auto"/>
        <w:ind w:left="283"/>
      </w:pPr>
      <w:r>
        <w:rPr>
          <w:rFonts w:ascii="Times New Roman" w:hAnsi="Times New Roman"/>
          <w:b w:val="0"/>
          <w:color w:val="000000"/>
          <w:sz w:val="18"/>
        </w:rPr>
        <w:t>2.1. Overall Tiered System Architecture</w:t>
      </w:r>
      <w:r>
        <w:rPr>
          <w:rFonts w:ascii="Times New Roman" w:hAnsi="Times New Roman"/>
          <w:b w:val="0"/>
          <w:color w:val="000000"/>
          <w:sz w:val="18"/>
        </w:rPr>
        <w:tab/>
      </w:r>
      <w:r>
        <w:rPr>
          <w:rFonts w:ascii="Times New Roman" w:hAnsi="Times New Roman"/>
          <w:b w:val="0"/>
          <w:color w:val="000000"/>
          <w:sz w:val="18"/>
        </w:rPr>
        <w:t>4</w:t>
      </w:r>
    </w:p>
    <w:p w14:paraId="4CD5F0E0">
      <w:pPr>
        <w:tabs>
          <w:tab w:val="right" w:leader="dot" w:pos="9354"/>
        </w:tabs>
        <w:spacing w:before="10" w:after="10" w:line="276" w:lineRule="auto"/>
        <w:ind w:left="283"/>
      </w:pPr>
      <w:r>
        <w:rPr>
          <w:rFonts w:ascii="Times New Roman" w:hAnsi="Times New Roman"/>
          <w:b w:val="0"/>
          <w:color w:val="000000"/>
          <w:sz w:val="18"/>
        </w:rPr>
        <w:t>2.2. Custom ReAct Agent Loop Engine (rag_client.py)</w:t>
      </w:r>
      <w:r>
        <w:rPr>
          <w:rFonts w:ascii="Times New Roman" w:hAnsi="Times New Roman"/>
          <w:b w:val="0"/>
          <w:color w:val="000000"/>
          <w:sz w:val="18"/>
        </w:rPr>
        <w:tab/>
      </w:r>
      <w:r>
        <w:rPr>
          <w:rFonts w:ascii="Times New Roman" w:hAnsi="Times New Roman"/>
          <w:b w:val="0"/>
          <w:color w:val="000000"/>
          <w:sz w:val="18"/>
        </w:rPr>
        <w:t>4</w:t>
      </w:r>
    </w:p>
    <w:p w14:paraId="3DE15F85">
      <w:pPr>
        <w:tabs>
          <w:tab w:val="right" w:leader="dot" w:pos="9354"/>
        </w:tabs>
        <w:spacing w:before="10" w:after="10" w:line="276" w:lineRule="auto"/>
        <w:ind w:left="283"/>
      </w:pPr>
      <w:r>
        <w:rPr>
          <w:rFonts w:ascii="Times New Roman" w:hAnsi="Times New Roman"/>
          <w:b w:val="0"/>
          <w:color w:val="000000"/>
          <w:sz w:val="18"/>
        </w:rPr>
        <w:t>2.3. Autonomous MCP Knowledge Server (rag_server.py)</w:t>
      </w:r>
      <w:r>
        <w:rPr>
          <w:rFonts w:ascii="Times New Roman" w:hAnsi="Times New Roman"/>
          <w:b w:val="0"/>
          <w:color w:val="000000"/>
          <w:sz w:val="18"/>
        </w:rPr>
        <w:tab/>
      </w:r>
      <w:r>
        <w:rPr>
          <w:rFonts w:ascii="Times New Roman" w:hAnsi="Times New Roman"/>
          <w:b w:val="0"/>
          <w:color w:val="000000"/>
          <w:sz w:val="18"/>
        </w:rPr>
        <w:t>4</w:t>
      </w:r>
    </w:p>
    <w:p w14:paraId="0825C7AC">
      <w:pPr>
        <w:tabs>
          <w:tab w:val="right" w:leader="dot" w:pos="9354"/>
        </w:tabs>
        <w:spacing w:before="30" w:after="30" w:line="276" w:lineRule="auto"/>
        <w:ind w:left="0"/>
      </w:pPr>
      <w:r>
        <w:rPr>
          <w:rFonts w:ascii="Times New Roman" w:hAnsi="Times New Roman"/>
          <w:b/>
          <w:color w:val="000000"/>
          <w:sz w:val="20"/>
        </w:rPr>
        <w:t>CHAPTER 3: MULTI-VERSION KNOWLEDGE MANAGEMENT &amp; HYBRID RETRIEVAL</w:t>
      </w:r>
      <w:r>
        <w:rPr>
          <w:rFonts w:ascii="Times New Roman" w:hAnsi="Times New Roman"/>
          <w:b/>
          <w:color w:val="000000"/>
          <w:sz w:val="20"/>
        </w:rPr>
        <w:tab/>
      </w:r>
      <w:r>
        <w:rPr>
          <w:rFonts w:ascii="Times New Roman" w:hAnsi="Times New Roman"/>
          <w:b/>
          <w:color w:val="000000"/>
          <w:sz w:val="20"/>
        </w:rPr>
        <w:t>5</w:t>
      </w:r>
    </w:p>
    <w:p w14:paraId="0DBE8A3C">
      <w:pPr>
        <w:tabs>
          <w:tab w:val="right" w:leader="dot" w:pos="9354"/>
        </w:tabs>
        <w:spacing w:before="10" w:after="10" w:line="276" w:lineRule="auto"/>
        <w:ind w:left="283"/>
      </w:pPr>
      <w:r>
        <w:rPr>
          <w:rFonts w:ascii="Times New Roman" w:hAnsi="Times New Roman"/>
          <w:b w:val="0"/>
          <w:color w:val="000000"/>
          <w:sz w:val="18"/>
        </w:rPr>
        <w:t>3.1. Multi-Format Document Ingestion Pipeline</w:t>
      </w:r>
      <w:r>
        <w:rPr>
          <w:rFonts w:ascii="Times New Roman" w:hAnsi="Times New Roman"/>
          <w:b w:val="0"/>
          <w:color w:val="000000"/>
          <w:sz w:val="18"/>
        </w:rPr>
        <w:tab/>
      </w:r>
      <w:r>
        <w:rPr>
          <w:rFonts w:ascii="Times New Roman" w:hAnsi="Times New Roman"/>
          <w:b w:val="0"/>
          <w:color w:val="000000"/>
          <w:sz w:val="18"/>
        </w:rPr>
        <w:t>5</w:t>
      </w:r>
    </w:p>
    <w:p w14:paraId="535E13FE">
      <w:pPr>
        <w:tabs>
          <w:tab w:val="right" w:leader="dot" w:pos="9354"/>
        </w:tabs>
        <w:spacing w:before="10" w:after="10" w:line="276" w:lineRule="auto"/>
        <w:ind w:left="283"/>
      </w:pPr>
      <w:r>
        <w:rPr>
          <w:rFonts w:ascii="Times New Roman" w:hAnsi="Times New Roman"/>
          <w:b w:val="0"/>
          <w:color w:val="000000"/>
          <w:sz w:val="18"/>
        </w:rPr>
        <w:t>3.2. Metadata Management &amp; Version Filtering Architecture</w:t>
      </w:r>
      <w:r>
        <w:rPr>
          <w:rFonts w:ascii="Times New Roman" w:hAnsi="Times New Roman"/>
          <w:b w:val="0"/>
          <w:color w:val="000000"/>
          <w:sz w:val="18"/>
        </w:rPr>
        <w:tab/>
      </w:r>
      <w:r>
        <w:rPr>
          <w:rFonts w:ascii="Times New Roman" w:hAnsi="Times New Roman"/>
          <w:b w:val="0"/>
          <w:color w:val="000000"/>
          <w:sz w:val="18"/>
        </w:rPr>
        <w:t>5</w:t>
      </w:r>
    </w:p>
    <w:p w14:paraId="3C037B91">
      <w:pPr>
        <w:tabs>
          <w:tab w:val="right" w:leader="dot" w:pos="9354"/>
        </w:tabs>
        <w:spacing w:before="10" w:after="10" w:line="276" w:lineRule="auto"/>
        <w:ind w:left="283"/>
      </w:pPr>
      <w:r>
        <w:rPr>
          <w:rFonts w:ascii="Times New Roman" w:hAnsi="Times New Roman"/>
          <w:b w:val="0"/>
          <w:color w:val="000000"/>
          <w:sz w:val="18"/>
        </w:rPr>
        <w:t>3.3. Recursive Semantic Document Chunking</w:t>
      </w:r>
      <w:r>
        <w:rPr>
          <w:rFonts w:ascii="Times New Roman" w:hAnsi="Times New Roman"/>
          <w:b w:val="0"/>
          <w:color w:val="000000"/>
          <w:sz w:val="18"/>
        </w:rPr>
        <w:tab/>
      </w:r>
      <w:r>
        <w:rPr>
          <w:rFonts w:ascii="Times New Roman" w:hAnsi="Times New Roman"/>
          <w:b w:val="0"/>
          <w:color w:val="000000"/>
          <w:sz w:val="18"/>
        </w:rPr>
        <w:t>5</w:t>
      </w:r>
    </w:p>
    <w:p w14:paraId="25688B09">
      <w:pPr>
        <w:tabs>
          <w:tab w:val="right" w:leader="dot" w:pos="9354"/>
        </w:tabs>
        <w:spacing w:before="10" w:after="10" w:line="276" w:lineRule="auto"/>
        <w:ind w:left="283"/>
      </w:pPr>
      <w:r>
        <w:rPr>
          <w:rFonts w:ascii="Times New Roman" w:hAnsi="Times New Roman"/>
          <w:b w:val="0"/>
          <w:color w:val="000000"/>
          <w:sz w:val="18"/>
        </w:rPr>
        <w:t>3.4. Hybrid Retrieval Engine (BM25 + Dense Vector)</w:t>
      </w:r>
      <w:r>
        <w:rPr>
          <w:rFonts w:ascii="Times New Roman" w:hAnsi="Times New Roman"/>
          <w:b w:val="0"/>
          <w:color w:val="000000"/>
          <w:sz w:val="18"/>
        </w:rPr>
        <w:tab/>
      </w:r>
      <w:r>
        <w:rPr>
          <w:rFonts w:ascii="Times New Roman" w:hAnsi="Times New Roman"/>
          <w:b w:val="0"/>
          <w:color w:val="000000"/>
          <w:sz w:val="18"/>
        </w:rPr>
        <w:t>5</w:t>
      </w:r>
    </w:p>
    <w:p w14:paraId="051B612C">
      <w:pPr>
        <w:tabs>
          <w:tab w:val="right" w:leader="dot" w:pos="9354"/>
        </w:tabs>
        <w:spacing w:before="30" w:after="30" w:line="276" w:lineRule="auto"/>
        <w:ind w:left="0"/>
      </w:pPr>
      <w:r>
        <w:rPr>
          <w:rFonts w:ascii="Times New Roman" w:hAnsi="Times New Roman"/>
          <w:b/>
          <w:color w:val="000000"/>
          <w:sz w:val="20"/>
        </w:rPr>
        <w:t>CHAPTER 4: LOGICAL REASONING &amp; VERIFIED ACTION EXECUTION</w:t>
      </w:r>
      <w:r>
        <w:rPr>
          <w:rFonts w:ascii="Times New Roman" w:hAnsi="Times New Roman"/>
          <w:b/>
          <w:color w:val="000000"/>
          <w:sz w:val="20"/>
        </w:rPr>
        <w:tab/>
      </w:r>
      <w:r>
        <w:rPr>
          <w:rFonts w:ascii="Times New Roman" w:hAnsi="Times New Roman"/>
          <w:b/>
          <w:color w:val="000000"/>
          <w:sz w:val="20"/>
        </w:rPr>
        <w:t>6</w:t>
      </w:r>
    </w:p>
    <w:p w14:paraId="6C198F16">
      <w:pPr>
        <w:tabs>
          <w:tab w:val="right" w:leader="dot" w:pos="9354"/>
        </w:tabs>
        <w:spacing w:before="10" w:after="10" w:line="276" w:lineRule="auto"/>
        <w:ind w:left="283"/>
      </w:pPr>
      <w:r>
        <w:rPr>
          <w:rFonts w:ascii="Times New Roman" w:hAnsi="Times New Roman"/>
          <w:b w:val="0"/>
          <w:color w:val="000000"/>
          <w:sz w:val="18"/>
        </w:rPr>
        <w:t>4.1. Layer B - Synthesis &amp; Multi-Step Calculation</w:t>
      </w:r>
      <w:r>
        <w:rPr>
          <w:rFonts w:ascii="Times New Roman" w:hAnsi="Times New Roman"/>
          <w:b w:val="0"/>
          <w:color w:val="000000"/>
          <w:sz w:val="18"/>
        </w:rPr>
        <w:tab/>
      </w:r>
      <w:r>
        <w:rPr>
          <w:rFonts w:ascii="Times New Roman" w:hAnsi="Times New Roman"/>
          <w:b w:val="0"/>
          <w:color w:val="000000"/>
          <w:sz w:val="18"/>
        </w:rPr>
        <w:t>6</w:t>
      </w:r>
    </w:p>
    <w:p w14:paraId="7AF36138">
      <w:pPr>
        <w:tabs>
          <w:tab w:val="right" w:leader="dot" w:pos="9354"/>
        </w:tabs>
        <w:spacing w:before="10" w:after="10" w:line="276" w:lineRule="auto"/>
        <w:ind w:left="283"/>
      </w:pPr>
      <w:r>
        <w:rPr>
          <w:rFonts w:ascii="Times New Roman" w:hAnsi="Times New Roman"/>
          <w:b w:val="0"/>
          <w:color w:val="000000"/>
          <w:sz w:val="18"/>
        </w:rPr>
        <w:t>4.2. Layer C - Two-Phase Side-Effect Execution Flow</w:t>
      </w:r>
      <w:r>
        <w:rPr>
          <w:rFonts w:ascii="Times New Roman" w:hAnsi="Times New Roman"/>
          <w:b w:val="0"/>
          <w:color w:val="000000"/>
          <w:sz w:val="18"/>
        </w:rPr>
        <w:tab/>
      </w:r>
      <w:r>
        <w:rPr>
          <w:rFonts w:ascii="Times New Roman" w:hAnsi="Times New Roman"/>
          <w:b w:val="0"/>
          <w:color w:val="000000"/>
          <w:sz w:val="18"/>
        </w:rPr>
        <w:t>6</w:t>
      </w:r>
    </w:p>
    <w:p w14:paraId="36EFCB61">
      <w:pPr>
        <w:tabs>
          <w:tab w:val="right" w:leader="dot" w:pos="9354"/>
        </w:tabs>
        <w:spacing w:before="30" w:after="30" w:line="276" w:lineRule="auto"/>
        <w:ind w:left="0"/>
      </w:pPr>
      <w:r>
        <w:rPr>
          <w:rFonts w:ascii="Times New Roman" w:hAnsi="Times New Roman"/>
          <w:b/>
          <w:color w:val="000000"/>
          <w:sz w:val="20"/>
        </w:rPr>
        <w:t>CHAPTER 5: EXPERIMENTAL DESIGN &amp; EVALUATION METRICS (WEEK 5)</w:t>
      </w:r>
      <w:r>
        <w:rPr>
          <w:rFonts w:ascii="Times New Roman" w:hAnsi="Times New Roman"/>
          <w:b/>
          <w:color w:val="000000"/>
          <w:sz w:val="20"/>
        </w:rPr>
        <w:tab/>
      </w:r>
      <w:r>
        <w:rPr>
          <w:rFonts w:ascii="Times New Roman" w:hAnsi="Times New Roman"/>
          <w:b/>
          <w:color w:val="000000"/>
          <w:sz w:val="20"/>
        </w:rPr>
        <w:t>7</w:t>
      </w:r>
    </w:p>
    <w:p w14:paraId="33453676">
      <w:pPr>
        <w:tabs>
          <w:tab w:val="right" w:leader="dot" w:pos="9354"/>
        </w:tabs>
        <w:spacing w:before="10" w:after="10" w:line="276" w:lineRule="auto"/>
        <w:ind w:left="283"/>
      </w:pPr>
      <w:r>
        <w:rPr>
          <w:rFonts w:ascii="Times New Roman" w:hAnsi="Times New Roman"/>
          <w:b w:val="0"/>
          <w:color w:val="000000"/>
          <w:sz w:val="18"/>
        </w:rPr>
        <w:t>5.1. Standardized Benchmark Testset Design</w:t>
      </w:r>
      <w:r>
        <w:rPr>
          <w:rFonts w:ascii="Times New Roman" w:hAnsi="Times New Roman"/>
          <w:b w:val="0"/>
          <w:color w:val="000000"/>
          <w:sz w:val="18"/>
        </w:rPr>
        <w:tab/>
      </w:r>
      <w:r>
        <w:rPr>
          <w:rFonts w:ascii="Times New Roman" w:hAnsi="Times New Roman"/>
          <w:b w:val="0"/>
          <w:color w:val="000000"/>
          <w:sz w:val="18"/>
        </w:rPr>
        <w:t>7</w:t>
      </w:r>
    </w:p>
    <w:p w14:paraId="44D34584">
      <w:pPr>
        <w:tabs>
          <w:tab w:val="right" w:leader="dot" w:pos="9354"/>
        </w:tabs>
        <w:spacing w:before="10" w:after="10" w:line="276" w:lineRule="auto"/>
        <w:ind w:left="283"/>
      </w:pPr>
      <w:r>
        <w:rPr>
          <w:rFonts w:ascii="Times New Roman" w:hAnsi="Times New Roman"/>
          <w:b w:val="0"/>
          <w:color w:val="000000"/>
          <w:sz w:val="18"/>
        </w:rPr>
        <w:t>5.2. LLM-as-a-Judge Evaluation Methodology</w:t>
      </w:r>
      <w:r>
        <w:rPr>
          <w:rFonts w:ascii="Times New Roman" w:hAnsi="Times New Roman"/>
          <w:b w:val="0"/>
          <w:color w:val="000000"/>
          <w:sz w:val="18"/>
        </w:rPr>
        <w:tab/>
      </w:r>
      <w:r>
        <w:rPr>
          <w:rFonts w:ascii="Times New Roman" w:hAnsi="Times New Roman"/>
          <w:b w:val="0"/>
          <w:color w:val="000000"/>
          <w:sz w:val="18"/>
        </w:rPr>
        <w:t>7</w:t>
      </w:r>
    </w:p>
    <w:p w14:paraId="18D1568D">
      <w:pPr>
        <w:tabs>
          <w:tab w:val="right" w:leader="dot" w:pos="9354"/>
        </w:tabs>
        <w:spacing w:before="30" w:after="30" w:line="276" w:lineRule="auto"/>
        <w:ind w:left="0"/>
      </w:pPr>
      <w:r>
        <w:rPr>
          <w:rFonts w:ascii="Times New Roman" w:hAnsi="Times New Roman"/>
          <w:b/>
          <w:color w:val="000000"/>
          <w:sz w:val="20"/>
        </w:rPr>
        <w:t>CHAPTER 6: EXPERIMENTAL RESULTS &amp; QUANTITATIVE ANALYSIS</w:t>
      </w:r>
      <w:r>
        <w:rPr>
          <w:rFonts w:ascii="Times New Roman" w:hAnsi="Times New Roman"/>
          <w:b/>
          <w:color w:val="000000"/>
          <w:sz w:val="20"/>
        </w:rPr>
        <w:tab/>
      </w:r>
      <w:r>
        <w:rPr>
          <w:rFonts w:ascii="Times New Roman" w:hAnsi="Times New Roman"/>
          <w:b/>
          <w:color w:val="000000"/>
          <w:sz w:val="20"/>
        </w:rPr>
        <w:t>8</w:t>
      </w:r>
    </w:p>
    <w:p w14:paraId="04B368C7">
      <w:pPr>
        <w:tabs>
          <w:tab w:val="right" w:leader="dot" w:pos="9354"/>
        </w:tabs>
        <w:spacing w:before="10" w:after="10" w:line="276" w:lineRule="auto"/>
        <w:ind w:left="283"/>
      </w:pPr>
      <w:r>
        <w:rPr>
          <w:rFonts w:ascii="Times New Roman" w:hAnsi="Times New Roman"/>
          <w:b w:val="0"/>
          <w:color w:val="000000"/>
          <w:sz w:val="18"/>
        </w:rPr>
        <w:t>6.1. Empirical Benchmark Results Summary</w:t>
      </w:r>
      <w:r>
        <w:rPr>
          <w:rFonts w:ascii="Times New Roman" w:hAnsi="Times New Roman"/>
          <w:b w:val="0"/>
          <w:color w:val="000000"/>
          <w:sz w:val="18"/>
        </w:rPr>
        <w:tab/>
      </w:r>
      <w:r>
        <w:rPr>
          <w:rFonts w:ascii="Times New Roman" w:hAnsi="Times New Roman"/>
          <w:b w:val="0"/>
          <w:color w:val="000000"/>
          <w:sz w:val="18"/>
        </w:rPr>
        <w:t>8</w:t>
      </w:r>
    </w:p>
    <w:p w14:paraId="663676FF">
      <w:pPr>
        <w:tabs>
          <w:tab w:val="right" w:leader="dot" w:pos="9354"/>
        </w:tabs>
        <w:spacing w:before="10" w:after="10" w:line="276" w:lineRule="auto"/>
        <w:ind w:left="283"/>
      </w:pPr>
      <w:r>
        <w:rPr>
          <w:rFonts w:ascii="Times New Roman" w:hAnsi="Times New Roman"/>
          <w:b w:val="0"/>
          <w:color w:val="000000"/>
          <w:sz w:val="18"/>
        </w:rPr>
        <w:t>6.2. Technical Visualization Charts</w:t>
      </w:r>
      <w:r>
        <w:rPr>
          <w:rFonts w:ascii="Times New Roman" w:hAnsi="Times New Roman"/>
          <w:b w:val="0"/>
          <w:color w:val="000000"/>
          <w:sz w:val="18"/>
        </w:rPr>
        <w:tab/>
      </w:r>
      <w:r>
        <w:rPr>
          <w:rFonts w:ascii="Times New Roman" w:hAnsi="Times New Roman"/>
          <w:b w:val="0"/>
          <w:color w:val="000000"/>
          <w:sz w:val="18"/>
        </w:rPr>
        <w:t>8</w:t>
      </w:r>
    </w:p>
    <w:p w14:paraId="09B99B0B">
      <w:pPr>
        <w:tabs>
          <w:tab w:val="right" w:leader="dot" w:pos="9354"/>
        </w:tabs>
        <w:spacing w:before="10" w:after="10" w:line="276" w:lineRule="auto"/>
        <w:ind w:left="283"/>
      </w:pPr>
      <w:r>
        <w:rPr>
          <w:rFonts w:ascii="Times New Roman" w:hAnsi="Times New Roman"/>
          <w:b w:val="0"/>
          <w:color w:val="000000"/>
          <w:sz w:val="18"/>
        </w:rPr>
        <w:t>6.3. Failure Mode Analysis &amp; Boundary Case Handling</w:t>
      </w:r>
      <w:r>
        <w:rPr>
          <w:rFonts w:ascii="Times New Roman" w:hAnsi="Times New Roman"/>
          <w:b w:val="0"/>
          <w:color w:val="000000"/>
          <w:sz w:val="18"/>
        </w:rPr>
        <w:tab/>
      </w:r>
      <w:r>
        <w:rPr>
          <w:rFonts w:ascii="Times New Roman" w:hAnsi="Times New Roman"/>
          <w:b w:val="0"/>
          <w:color w:val="000000"/>
          <w:sz w:val="18"/>
        </w:rPr>
        <w:t>8</w:t>
      </w:r>
    </w:p>
    <w:p w14:paraId="4D7D24A9">
      <w:pPr>
        <w:tabs>
          <w:tab w:val="right" w:leader="dot" w:pos="9354"/>
        </w:tabs>
        <w:spacing w:before="30" w:after="30" w:line="276" w:lineRule="auto"/>
        <w:ind w:left="0"/>
      </w:pPr>
      <w:r>
        <w:rPr>
          <w:rFonts w:ascii="Times New Roman" w:hAnsi="Times New Roman"/>
          <w:b w:val="0"/>
          <w:i w:val="0"/>
          <w:sz w:val="22"/>
        </w:rPr>
        <w:t>A rigorous evaluation framework must transparently analyze failure modes and edge boundaries observed during benchmark execution (make eval):</w:t>
      </w:r>
    </w:p>
    <w:p w14:paraId="4C8233D0">
      <w:pPr>
        <w:tabs>
          <w:tab w:val="right" w:leader="dot" w:pos="9354"/>
        </w:tabs>
        <w:spacing w:before="10" w:after="10" w:line="276" w:lineRule="auto"/>
        <w:ind w:left="283"/>
      </w:pPr>
      <w:r>
        <w:rPr>
          <w:rFonts w:ascii="Times New Roman" w:hAnsi="Times New Roman"/>
          <w:b w:val="0"/>
          <w:i w:val="0"/>
          <w:sz w:val="22"/>
        </w:rPr>
        <w:t>1. Temporal Regulatory Staleness in Historical Cohorts ([q4]): When queried about graduation thresholds for historical Cohort 2012 vs Cohort 2013+, the agent strictly searched the indexed 2025 corpus (00_Toan_van_Quy_dinh_CTXH_2025.pdf). Finding no mention of the obsolete 2012 threshold (3 days), the agent issued a calibrated refusal: 'Quy định này không có trong văn bản quy định Công tác xã hội hiện hành của trường'. While this resulted in an Answer Relevance score of 0.00 against the historical ground truth, it demonstrates flawless Faithfulness (1.00) and zero hallucination—refusing to invent historical rules absent from current files.</w:t>
      </w:r>
    </w:p>
    <w:p w14:paraId="7FEC523F">
      <w:pPr>
        <w:tabs>
          <w:tab w:val="right" w:leader="dot" w:pos="9354"/>
        </w:tabs>
        <w:spacing w:before="10" w:after="10" w:line="276" w:lineRule="auto"/>
        <w:ind w:left="283"/>
      </w:pPr>
      <w:r>
        <w:rPr>
          <w:rFonts w:ascii="Times New Roman" w:hAnsi="Times New Roman"/>
          <w:b w:val="0"/>
          <w:i w:val="0"/>
          <w:sz w:val="22"/>
        </w:rPr>
        <w:t>2. Intermediate Reasoning Discrepancy &amp; Self-Correction ([q5]): In evaluating a multi-activity point-to-day conversion (Green Summer 40 pts + Blood Donation 5 pts), the LLM initially generated a flawed intermediate sum: '4.0 + 0.5 = 5.0 ngày', but immediately recognized the error and self-corrected in the succeeding sentence: 'Cần rà lại: 4,0 + 0,5 = 4,5 ngày. Sửa: đáp án đúng là 4,5 ngày CTXH'. Because the LLM-as-a-judge atomized both contradictory claims, Faithfulness was penalized to 0.57 despite the final numerical answer being mathematically correct.</w:t>
      </w:r>
    </w:p>
    <w:p w14:paraId="7B0906C5">
      <w:pPr>
        <w:tabs>
          <w:tab w:val="right" w:leader="dot" w:pos="9354"/>
        </w:tabs>
        <w:spacing w:before="10" w:after="10" w:line="276" w:lineRule="auto"/>
        <w:ind w:left="283"/>
      </w:pPr>
      <w:r>
        <w:rPr>
          <w:rFonts w:ascii="Times New Roman" w:hAnsi="Times New Roman"/>
          <w:b w:val="0"/>
          <w:color w:val="000000"/>
          <w:sz w:val="18"/>
        </w:rPr>
        <w:t>7.3. Strategic Future Enhancements</w:t>
      </w:r>
      <w:r>
        <w:rPr>
          <w:rFonts w:ascii="Times New Roman" w:hAnsi="Times New Roman"/>
          <w:b w:val="0"/>
          <w:color w:val="000000"/>
          <w:sz w:val="18"/>
        </w:rPr>
        <w:tab/>
      </w:r>
      <w:r>
        <w:rPr>
          <w:rFonts w:ascii="Times New Roman" w:hAnsi="Times New Roman"/>
          <w:b w:val="0"/>
          <w:color w:val="000000"/>
          <w:sz w:val="18"/>
        </w:rPr>
        <w:t>9</w:t>
      </w:r>
    </w:p>
    <w:p w14:paraId="11E7464D">
      <w:pPr>
        <w:tabs>
          <w:tab w:val="right" w:leader="dot" w:pos="9354"/>
        </w:tabs>
        <w:spacing w:before="30" w:after="30" w:line="276" w:lineRule="auto"/>
        <w:ind w:left="0"/>
      </w:pPr>
      <w:r>
        <w:rPr>
          <w:rFonts w:ascii="Times New Roman" w:hAnsi="Times New Roman"/>
          <w:b/>
          <w:i w:val="0"/>
          <w:sz w:val="22"/>
        </w:rPr>
        <w:t>CHAPTER 8: TASK ALLOCATION, CONCLUSION &amp; REPRODUCIBILITY APPENDIX</w:t>
        <w:tab/>
        <w:t>10</w:t>
      </w:r>
    </w:p>
    <w:p>
      <w:r>
        <w:rPr>
          <w:rFonts w:ascii="Times New Roman" w:hAnsi="Times New Roman"/>
          <w:b w:val="0"/>
          <w:i w:val="0"/>
          <w:sz w:val="22"/>
        </w:rPr>
        <w:t>8.1. Team Task Allocation &amp; Individual Contributions (with Commit Hashes)</w:t>
        <w:tab/>
        <w:t>10</w:t>
      </w:r>
    </w:p>
    <w:p w14:paraId="34EB1077">
      <w:pPr>
        <w:tabs>
          <w:tab w:val="right" w:leader="dot" w:pos="9354"/>
        </w:tabs>
        <w:spacing w:before="10" w:after="10" w:line="276" w:lineRule="auto"/>
        <w:ind w:left="283"/>
      </w:pPr>
      <w:r>
        <w:rPr>
          <w:rFonts w:ascii="Times New Roman" w:hAnsi="Times New Roman"/>
          <w:b w:val="0"/>
          <w:i w:val="0"/>
          <w:sz w:val="22"/>
        </w:rPr>
        <w:t>8.2. Project Conclusion</w:t>
        <w:tab/>
        <w:t>10</w:t>
      </w:r>
    </w:p>
    <w:p w14:paraId="183F21C1">
      <w:pPr>
        <w:tabs>
          <w:tab w:val="right" w:leader="dot" w:pos="9354"/>
        </w:tabs>
        <w:spacing w:before="10" w:after="10" w:line="276" w:lineRule="auto"/>
        <w:ind w:left="283"/>
      </w:pPr>
      <w:r>
        <w:rPr>
          <w:rFonts w:ascii="Times New Roman" w:hAnsi="Times New Roman"/>
          <w:b w:val="0"/>
          <w:i w:val="0"/>
          <w:sz w:val="22"/>
        </w:rPr>
        <w:t>8.3. Academic References</w:t>
        <w:tab/>
        <w:t>10</w:t>
      </w:r>
    </w:p>
    <w:p w14:paraId="0459004A">
      <w:pPr>
        <w:tabs>
          <w:tab w:val="right" w:leader="dot" w:pos="9354"/>
        </w:tabs>
        <w:spacing w:before="10" w:after="10" w:line="276" w:lineRule="auto"/>
        <w:ind w:left="283"/>
      </w:pPr>
      <w:r>
        <w:rPr>
          <w:rFonts w:ascii="Times New Roman" w:hAnsi="Times New Roman"/>
          <w:b w:val="0"/>
          <w:i w:val="0"/>
          <w:sz w:val="22"/>
        </w:rPr>
        <w:t>8.4. Appendix: Single-Command Reproducibility via Makefile</w:t>
        <w:tab/>
        <w:t>10</w:t>
      </w:r>
    </w:p>
    <w:p w14:paraId="5187FD02">
      <w:pPr>
        <w:spacing w:before="160" w:after="40"/>
      </w:pPr>
      <w:r>
        <w:rPr>
          <w:rFonts w:ascii="Times New Roman" w:hAnsi="Times New Roman"/>
          <w:b/>
          <w:color w:val="000000"/>
          <w:sz w:val="21"/>
        </w:rPr>
        <w:t>LIST OF TABLES</w:t>
      </w:r>
    </w:p>
    <w:p w14:paraId="57E14B66">
      <w:pPr>
        <w:tabs>
          <w:tab w:val="right" w:leader="dot" w:pos="9354"/>
        </w:tabs>
        <w:spacing w:before="10" w:after="10" w:line="276" w:lineRule="auto"/>
        <w:ind w:left="283"/>
      </w:pPr>
      <w:r>
        <w:rPr>
          <w:rFonts w:ascii="Times New Roman" w:hAnsi="Times New Roman"/>
          <w:b w:val="0"/>
          <w:color w:val="000000"/>
          <w:sz w:val="18"/>
        </w:rPr>
        <w:t>Table 4.1: Two-Phase Transactional Execution Protocol (Write + Verify)</w:t>
      </w:r>
      <w:r>
        <w:rPr>
          <w:rFonts w:ascii="Times New Roman" w:hAnsi="Times New Roman"/>
          <w:b w:val="0"/>
          <w:color w:val="000000"/>
          <w:sz w:val="18"/>
        </w:rPr>
        <w:tab/>
      </w:r>
      <w:r>
        <w:rPr>
          <w:rFonts w:ascii="Times New Roman" w:hAnsi="Times New Roman"/>
          <w:b w:val="0"/>
          <w:color w:val="000000"/>
          <w:sz w:val="18"/>
        </w:rPr>
        <w:t>6</w:t>
      </w:r>
    </w:p>
    <w:p>
      <w:r>
        <w:rPr>
          <w:rFonts w:ascii="Times New Roman" w:hAnsi="Times New Roman"/>
          <w:b w:val="0"/>
          <w:i w:val="0"/>
          <w:sz w:val="22"/>
        </w:rPr>
        <w:t>Table 6.2: Configuration Benchmark: Dense-Only vs. Hybrid Search (+1 Bonus Point)</w:t>
        <w:tab/>
        <w:t>8</w:t>
      </w:r>
    </w:p>
    <w:p>
      <w:r>
        <w:rPr>
          <w:rFonts w:ascii="Times New Roman" w:hAnsi="Times New Roman"/>
          <w:b w:val="0"/>
          <w:i w:val="0"/>
          <w:sz w:val="22"/>
        </w:rPr>
        <w:t>Table 8.1: Task Allocation, Member Responsibilities &amp; Commit Hashes</w:t>
        <w:tab/>
        <w:t>10</w:t>
      </w:r>
    </w:p>
    <w:p w14:paraId="612C1E5F">
      <w:pPr>
        <w:tabs>
          <w:tab w:val="right" w:leader="dot" w:pos="9354"/>
        </w:tabs>
        <w:spacing w:before="10" w:after="10" w:line="276" w:lineRule="auto"/>
        <w:ind w:left="283"/>
      </w:pPr>
      <w:r>
        <w:rPr>
          <w:rFonts w:ascii="Times New Roman" w:hAnsi="Times New Roman"/>
          <w:b w:val="0"/>
          <w:i w:val="0"/>
          <w:sz w:val="22"/>
        </w:rPr>
        <w:t>Table 6.1: Comprehensive Benchmark Evaluation Results (15 Test Cases)</w:t>
        <w:tab/>
        <w:t>8</w:t>
      </w:r>
    </w:p>
    <w:p w14:paraId="3973DBBC">
      <w:pPr>
        <w:spacing w:before="120" w:after="40"/>
      </w:pPr>
      <w:r>
        <w:rPr>
          <w:rFonts w:ascii="Times New Roman" w:hAnsi="Times New Roman"/>
          <w:b/>
          <w:color w:val="000000"/>
          <w:sz w:val="21"/>
        </w:rPr>
        <w:t>LIST OF FIGURES</w:t>
      </w:r>
    </w:p>
    <w:p w14:paraId="7741F3B9">
      <w:pPr>
        <w:tabs>
          <w:tab w:val="right" w:leader="dot" w:pos="9354"/>
        </w:tabs>
        <w:spacing w:before="10" w:after="10" w:line="276" w:lineRule="auto"/>
        <w:ind w:left="283"/>
      </w:pPr>
      <w:r>
        <w:rPr>
          <w:rFonts w:ascii="Times New Roman" w:hAnsi="Times New Roman"/>
          <w:b w:val="0"/>
          <w:color w:val="000000"/>
          <w:sz w:val="18"/>
        </w:rPr>
        <w:t>Figure 2.1: Tiered System Architecture Integrated with Model Context Protocol</w:t>
      </w:r>
      <w:r>
        <w:rPr>
          <w:rFonts w:ascii="Times New Roman" w:hAnsi="Times New Roman"/>
          <w:b w:val="0"/>
          <w:color w:val="000000"/>
          <w:sz w:val="18"/>
        </w:rPr>
        <w:tab/>
      </w:r>
      <w:r>
        <w:rPr>
          <w:rFonts w:ascii="Times New Roman" w:hAnsi="Times New Roman"/>
          <w:b w:val="0"/>
          <w:color w:val="000000"/>
          <w:sz w:val="18"/>
        </w:rPr>
        <w:t>4</w:t>
      </w:r>
    </w:p>
    <w:p w14:paraId="41969FFD">
      <w:pPr>
        <w:tabs>
          <w:tab w:val="right" w:leader="dot" w:pos="9354"/>
        </w:tabs>
        <w:spacing w:before="10" w:after="10" w:line="276" w:lineRule="auto"/>
        <w:ind w:left="283"/>
      </w:pPr>
      <w:r>
        <w:rPr>
          <w:rFonts w:ascii="Times New Roman" w:hAnsi="Times New Roman"/>
          <w:b w:val="0"/>
          <w:i w:val="0"/>
          <w:sz w:val="22"/>
        </w:rPr>
        <w:t>Figure 6.1: Token Usage Breakdown across 15 Test Cases</w:t>
        <w:tab/>
        <w:t>8</w:t>
      </w:r>
    </w:p>
    <w:p w14:paraId="68156734">
      <w:pPr>
        <w:tabs>
          <w:tab w:val="right" w:leader="dot" w:pos="9354"/>
        </w:tabs>
        <w:spacing w:before="10" w:after="10" w:line="276" w:lineRule="auto"/>
        <w:ind w:left="283"/>
      </w:pPr>
      <w:r>
        <w:rPr>
          <w:rFonts w:ascii="Times New Roman" w:hAnsi="Times New Roman"/>
          <w:b w:val="0"/>
          <w:color w:val="000000"/>
          <w:sz w:val="18"/>
        </w:rPr>
        <w:t>Figure 6.2: Response Latency &amp; Tool Invocations</w:t>
      </w:r>
      <w:r>
        <w:rPr>
          <w:rFonts w:ascii="Times New Roman" w:hAnsi="Times New Roman"/>
          <w:b w:val="0"/>
          <w:color w:val="000000"/>
          <w:sz w:val="18"/>
        </w:rPr>
        <w:tab/>
      </w:r>
      <w:r>
        <w:rPr>
          <w:rFonts w:ascii="Times New Roman" w:hAnsi="Times New Roman"/>
          <w:b w:val="0"/>
          <w:color w:val="000000"/>
          <w:sz w:val="18"/>
        </w:rPr>
        <w:t>8</w:t>
      </w:r>
    </w:p>
    <w:p w14:paraId="0C7A0AAE">
      <w:pPr>
        <w:tabs>
          <w:tab w:val="right" w:leader="dot" w:pos="9354"/>
        </w:tabs>
        <w:spacing w:before="10" w:after="10" w:line="276" w:lineRule="auto"/>
        <w:ind w:left="283"/>
      </w:pPr>
      <w:r>
        <w:rPr>
          <w:rFonts w:ascii="Times New Roman" w:hAnsi="Times New Roman"/>
          <w:b w:val="0"/>
          <w:color w:val="000000"/>
          <w:sz w:val="18"/>
        </w:rPr>
        <w:t>Figure 6.3: Quality Metrics Comparison: Faithfulness &amp; Keyword Recall</w:t>
      </w:r>
      <w:r>
        <w:rPr>
          <w:rFonts w:ascii="Times New Roman" w:hAnsi="Times New Roman"/>
          <w:b w:val="0"/>
          <w:color w:val="000000"/>
          <w:sz w:val="18"/>
        </w:rPr>
        <w:tab/>
      </w:r>
      <w:r>
        <w:rPr>
          <w:rFonts w:ascii="Times New Roman" w:hAnsi="Times New Roman"/>
          <w:b w:val="0"/>
          <w:color w:val="000000"/>
          <w:sz w:val="18"/>
        </w:rPr>
        <w:t>8</w:t>
      </w:r>
    </w:p>
    <w:p>
      <w:r>
        <w:rPr>
          <w:rFonts w:ascii="Times New Roman" w:hAnsi="Times New Roman"/>
          <w:b w:val="0"/>
          <w:i w:val="0"/>
          <w:sz w:val="22"/>
        </w:rPr>
        <w:t>Figure 6.5: Dense-Only vs. Hybrid Search Retrieval Comparison (+1 Bonus Point)</w:t>
        <w:tab/>
        <w:t>8</w:t>
      </w:r>
    </w:p>
    <w:p w14:paraId="311055BB">
      <w:pPr>
        <w:tabs>
          <w:tab w:val="right" w:leader="dot" w:pos="9354"/>
        </w:tabs>
        <w:spacing w:before="10" w:after="10" w:line="276" w:lineRule="auto"/>
        <w:ind w:left="283"/>
      </w:pPr>
      <w:r>
        <w:rPr>
          <w:rFonts w:ascii="Times New Roman" w:hAnsi="Times New Roman"/>
          <w:b w:val="0"/>
          <w:color w:val="000000"/>
          <w:sz w:val="18"/>
        </w:rPr>
        <w:t>Figure 6.4: Overall System Performance Dashboard</w:t>
      </w:r>
      <w:r>
        <w:rPr>
          <w:rFonts w:ascii="Times New Roman" w:hAnsi="Times New Roman"/>
          <w:b w:val="0"/>
          <w:color w:val="000000"/>
          <w:sz w:val="18"/>
        </w:rPr>
        <w:tab/>
      </w:r>
      <w:r>
        <w:rPr>
          <w:rFonts w:ascii="Times New Roman" w:hAnsi="Times New Roman"/>
          <w:b w:val="0"/>
          <w:color w:val="000000"/>
          <w:sz w:val="18"/>
        </w:rPr>
        <w:t>8</w:t>
      </w:r>
    </w:p>
    <w:p w14:paraId="25256A6C">
      <w:r>
        <w:br w:type="page"/>
      </w:r>
    </w:p>
    <w:p w14:paraId="360242AF">
      <w:pPr>
        <w:keepNext/>
        <w:spacing w:before="220" w:after="80"/>
      </w:pPr>
      <w:r>
        <w:rPr>
          <w:rFonts w:ascii="Times New Roman" w:hAnsi="Times New Roman"/>
          <w:b/>
          <w:color w:val="000000"/>
          <w:sz w:val="27"/>
        </w:rPr>
        <w:t>CHAPTER 1: PROJECT OVERVIEW &amp; REQUIREMENTS ANALYSIS</w:t>
      </w:r>
    </w:p>
    <w:p w14:paraId="39F06FFB">
      <w:pPr>
        <w:keepNext/>
        <w:spacing w:before="130" w:after="40"/>
      </w:pPr>
      <w:r>
        <w:rPr>
          <w:rFonts w:ascii="Times New Roman" w:hAnsi="Times New Roman"/>
          <w:b/>
          <w:color w:val="000000"/>
          <w:sz w:val="24"/>
        </w:rPr>
        <w:t>1.1. Practical Context and Research Motivation at HCMUTE</w:t>
      </w:r>
    </w:p>
    <w:p w14:paraId="15ECAD80">
      <w:pPr>
        <w:spacing w:before="0" w:after="60" w:line="288" w:lineRule="auto"/>
        <w:jc w:val="both"/>
      </w:pPr>
      <w:r>
        <w:rPr>
          <w:rFonts w:ascii="Times New Roman" w:hAnsi="Times New Roman"/>
          <w:b w:val="0"/>
          <w:i w:val="0"/>
          <w:color w:val="000000"/>
          <w:sz w:val="23"/>
        </w:rPr>
        <w:t>At Ho Chi Minh City University of Technology and Engineering (HCMUTE), fulfilling the Social Work (Công tác Xã hội - CTXH) program is an essential graduation prerequisite for all undergraduate students. However, navigating and complying with CTXH policies involves notable operational friction:</w:t>
      </w:r>
    </w:p>
    <w:p w14:paraId="2D3845B6">
      <w:pPr>
        <w:pStyle w:val="23"/>
        <w:spacing w:before="0" w:after="40" w:line="283" w:lineRule="auto"/>
        <w:jc w:val="both"/>
      </w:pPr>
      <w:r>
        <w:rPr>
          <w:rFonts w:ascii="Times New Roman" w:hAnsi="Times New Roman"/>
          <w:b/>
          <w:color w:val="000000"/>
          <w:sz w:val="22"/>
        </w:rPr>
        <w:t>Complex 6-Digit Activity Codification:</w:t>
      </w:r>
      <w:r>
        <w:rPr>
          <w:rFonts w:ascii="Times New Roman" w:hAnsi="Times New Roman"/>
          <w:color w:val="000000"/>
          <w:sz w:val="22"/>
        </w:rPr>
        <w:t xml:space="preserve"> Institutional guidelines define over 50 extracurricular volunteer activities identified by standardized 6-digit codes (e.g., 001101 for the Provincial Green Summer Campaign, 001202 for Voluntary Blood Donation, 002101 for Green Sunday). Students frequently struggle to recall or cross-reference these identifiers accurately.</w:t>
      </w:r>
    </w:p>
    <w:p w14:paraId="4F1541F3">
      <w:pPr>
        <w:pStyle w:val="23"/>
        <w:spacing w:before="0" w:after="40" w:line="283" w:lineRule="auto"/>
        <w:jc w:val="both"/>
      </w:pPr>
      <w:r>
        <w:rPr>
          <w:rFonts w:ascii="Times New Roman" w:hAnsi="Times New Roman"/>
          <w:b/>
          <w:color w:val="000000"/>
          <w:sz w:val="22"/>
        </w:rPr>
        <w:t>Multi-Variable Conversion &amp; Rounding Mechanics:</w:t>
      </w:r>
      <w:r>
        <w:rPr>
          <w:rFonts w:ascii="Times New Roman" w:hAnsi="Times New Roman"/>
          <w:color w:val="000000"/>
          <w:sz w:val="22"/>
        </w:rPr>
        <w:t xml:space="preserve"> Activity evaluation points do not map directly to social work days. Instead, they must be converted using the institutional formula: Social Work Days = Total Points / 10, rounded to the nearest half-day (0.5 day). This causes frequent confusion between accumulated points and certified days.</w:t>
      </w:r>
    </w:p>
    <w:p w14:paraId="26F182D0">
      <w:pPr>
        <w:pStyle w:val="23"/>
        <w:spacing w:before="0" w:after="40" w:line="283" w:lineRule="auto"/>
        <w:jc w:val="both"/>
      </w:pPr>
      <w:r>
        <w:rPr>
          <w:rFonts w:ascii="Times New Roman" w:hAnsi="Times New Roman"/>
          <w:b/>
          <w:color w:val="000000"/>
          <w:sz w:val="22"/>
        </w:rPr>
        <w:t>Cohort-Differentiated Graduation Criteria:</w:t>
      </w:r>
      <w:r>
        <w:rPr>
          <w:rFonts w:ascii="Times New Roman" w:hAnsi="Times New Roman"/>
          <w:color w:val="000000"/>
          <w:sz w:val="22"/>
        </w:rPr>
        <w:t xml:space="preserve"> Graduation requirements diverge according to the admission cohort: students admitted in Cohort 2012 require a minimum of 3 accumulated days, whereas cohorts admitted from 2013 onwards in programs lasting 4 or more years must complete at least 4 certified days.</w:t>
      </w:r>
    </w:p>
    <w:p w14:paraId="39D7B155">
      <w:pPr>
        <w:pStyle w:val="23"/>
        <w:spacing w:before="0" w:after="40" w:line="283" w:lineRule="auto"/>
        <w:jc w:val="both"/>
      </w:pPr>
      <w:r>
        <w:rPr>
          <w:rFonts w:ascii="Times New Roman" w:hAnsi="Times New Roman"/>
          <w:b/>
          <w:color w:val="000000"/>
          <w:sz w:val="22"/>
        </w:rPr>
        <w:t>Multi-Version &amp; Dispersed Regulatory Documents:</w:t>
      </w:r>
      <w:r>
        <w:rPr>
          <w:rFonts w:ascii="Times New Roman" w:hAnsi="Times New Roman"/>
          <w:color w:val="000000"/>
          <w:sz w:val="22"/>
        </w:rPr>
        <w:t xml:space="preserve"> Guidelines, appendices, point deduction rules, and award criteria are updated across consecutive academic years (2023, 2024, 2025) and published across disparate file formats (.pdf, .docx, .txt, .xlsx), creating risks of referencing obsolete policies.</w:t>
      </w:r>
    </w:p>
    <w:p w14:paraId="36BA31CB">
      <w:pPr>
        <w:keepNext/>
        <w:spacing w:before="130" w:after="40"/>
      </w:pPr>
      <w:r>
        <w:rPr>
          <w:rFonts w:ascii="Times New Roman" w:hAnsi="Times New Roman"/>
          <w:b/>
          <w:color w:val="000000"/>
          <w:sz w:val="24"/>
        </w:rPr>
        <w:t>1.2. Inherent Challenges for Large Language Models (LLMs)</w:t>
      </w:r>
    </w:p>
    <w:p w14:paraId="2465AFD0">
      <w:pPr>
        <w:spacing w:before="0" w:after="60" w:line="288" w:lineRule="auto"/>
        <w:jc w:val="both"/>
      </w:pPr>
      <w:r>
        <w:rPr>
          <w:rFonts w:ascii="Times New Roman" w:hAnsi="Times New Roman"/>
          <w:b w:val="0"/>
          <w:i w:val="0"/>
          <w:color w:val="000000"/>
          <w:sz w:val="23"/>
        </w:rPr>
        <w:t>Applying conventional zero-shot LLMs directly to student advisory tasks exposes three critical failure modes:</w:t>
      </w:r>
    </w:p>
    <w:p w14:paraId="7ADD68A6">
      <w:pPr>
        <w:pStyle w:val="23"/>
        <w:spacing w:before="0" w:after="40" w:line="283" w:lineRule="auto"/>
        <w:jc w:val="both"/>
      </w:pPr>
      <w:r>
        <w:rPr>
          <w:rFonts w:ascii="Times New Roman" w:hAnsi="Times New Roman"/>
          <w:b/>
          <w:color w:val="000000"/>
          <w:sz w:val="22"/>
        </w:rPr>
        <w:t>Factual Hallucination:</w:t>
      </w:r>
      <w:r>
        <w:rPr>
          <w:rFonts w:ascii="Times New Roman" w:hAnsi="Times New Roman"/>
          <w:color w:val="000000"/>
          <w:sz w:val="22"/>
        </w:rPr>
        <w:t xml:space="preserve"> Generative models tend to fabricate non-existent 6-digit activity codes or guess graduation criteria when official documents lack explicit references.</w:t>
      </w:r>
    </w:p>
    <w:p w14:paraId="595EF7F3">
      <w:pPr>
        <w:pStyle w:val="23"/>
        <w:spacing w:before="0" w:after="40" w:line="283" w:lineRule="auto"/>
        <w:jc w:val="both"/>
      </w:pPr>
      <w:r>
        <w:rPr>
          <w:rFonts w:ascii="Times New Roman" w:hAnsi="Times New Roman"/>
          <w:b/>
          <w:color w:val="000000"/>
          <w:sz w:val="22"/>
        </w:rPr>
        <w:t>Version Staleness &amp; Temporal Conflicts:</w:t>
      </w:r>
      <w:r>
        <w:rPr>
          <w:rFonts w:ascii="Times New Roman" w:hAnsi="Times New Roman"/>
          <w:color w:val="000000"/>
          <w:sz w:val="22"/>
        </w:rPr>
        <w:t xml:space="preserve"> Without systematic metadata-driven version filtering, models risk conflating historical rules with newly enacted revisions.</w:t>
      </w:r>
    </w:p>
    <w:p w14:paraId="621F20AC">
      <w:pPr>
        <w:pStyle w:val="23"/>
        <w:spacing w:before="0" w:after="40" w:line="283" w:lineRule="auto"/>
        <w:jc w:val="both"/>
      </w:pPr>
      <w:r>
        <w:rPr>
          <w:rFonts w:ascii="Times New Roman" w:hAnsi="Times New Roman"/>
          <w:b/>
          <w:color w:val="000000"/>
          <w:sz w:val="22"/>
        </w:rPr>
        <w:t>Absence of Administrative State Verification:</w:t>
      </w:r>
      <w:r>
        <w:rPr>
          <w:rFonts w:ascii="Times New Roman" w:hAnsi="Times New Roman"/>
          <w:color w:val="000000"/>
          <w:sz w:val="22"/>
        </w:rPr>
        <w:t xml:space="preserve"> Standard LLMs generate conversational text passively and cannot reliably perform transactional state modifications or verify institutional database consistency.</w:t>
      </w:r>
    </w:p>
    <w:p w14:paraId="3B3B1A6D">
      <w:pPr>
        <w:keepNext/>
        <w:spacing w:before="130" w:after="40"/>
      </w:pPr>
      <w:r>
        <w:rPr>
          <w:rFonts w:ascii="Times New Roman" w:hAnsi="Times New Roman"/>
          <w:b/>
          <w:color w:val="000000"/>
          <w:sz w:val="24"/>
        </w:rPr>
        <w:t>1.3. Project Objectives &amp; 3 Mandatory Architectural Layers</w:t>
      </w:r>
    </w:p>
    <w:p w14:paraId="4B70C853">
      <w:pPr>
        <w:spacing w:before="0" w:after="60" w:line="288" w:lineRule="auto"/>
        <w:jc w:val="both"/>
      </w:pPr>
      <w:r>
        <w:rPr>
          <w:rFonts w:ascii="Times New Roman" w:hAnsi="Times New Roman"/>
          <w:b w:val="0"/>
          <w:i w:val="0"/>
          <w:color w:val="000000"/>
          <w:sz w:val="23"/>
        </w:rPr>
        <w:t>The CTXH Assistant (Topic T5) addresses these challenges via a rigorously engineered 3-layer architecture:</w:t>
      </w:r>
    </w:p>
    <w:p w14:paraId="06B422F0">
      <w:pPr>
        <w:pStyle w:val="23"/>
        <w:spacing w:before="0" w:after="40" w:line="283" w:lineRule="auto"/>
        <w:jc w:val="both"/>
      </w:pPr>
      <w:r>
        <w:rPr>
          <w:rFonts w:ascii="Times New Roman" w:hAnsi="Times New Roman"/>
          <w:b/>
          <w:color w:val="000000"/>
          <w:sz w:val="22"/>
        </w:rPr>
        <w:t>Layer (a) Grounded &amp; Calibrated Retrieval:</w:t>
      </w:r>
      <w:r>
        <w:rPr>
          <w:rFonts w:ascii="Times New Roman" w:hAnsi="Times New Roman"/>
          <w:color w:val="000000"/>
          <w:sz w:val="22"/>
        </w:rPr>
        <w:t xml:space="preserve"> Implements Hybrid Search combining BM25 keyword matching and dense vector representations (jina-embeddings-v3), enforcing strict citations of source file, version, and chunk ID. Integrates calibrated refusal mechanisms for out-of-domain queries.</w:t>
      </w:r>
    </w:p>
    <w:p w14:paraId="395285D5">
      <w:pPr>
        <w:pStyle w:val="23"/>
        <w:spacing w:before="0" w:after="40" w:line="283" w:lineRule="auto"/>
        <w:jc w:val="both"/>
      </w:pPr>
      <w:r>
        <w:rPr>
          <w:rFonts w:ascii="Times New Roman" w:hAnsi="Times New Roman"/>
          <w:b/>
          <w:color w:val="000000"/>
          <w:sz w:val="22"/>
        </w:rPr>
        <w:t>Layer (b) Logical Synthesis &amp; Calculation:</w:t>
      </w:r>
      <w:r>
        <w:rPr>
          <w:rFonts w:ascii="Times New Roman" w:hAnsi="Times New Roman"/>
          <w:color w:val="000000"/>
          <w:sz w:val="22"/>
        </w:rPr>
        <w:t xml:space="preserve"> Executes multi-step reasoning to parse 55 activity codes, calculate points-to-days conversions, assess individual graduation status, and enforce guardrails against missing inputs (e.g., prompting for Student ID).</w:t>
      </w:r>
    </w:p>
    <w:p w14:paraId="15D8BB58">
      <w:pPr>
        <w:pStyle w:val="23"/>
        <w:spacing w:before="0" w:after="40" w:line="283" w:lineRule="auto"/>
        <w:jc w:val="both"/>
      </w:pPr>
      <w:r>
        <w:rPr>
          <w:rFonts w:ascii="Times New Roman" w:hAnsi="Times New Roman"/>
          <w:b/>
          <w:color w:val="000000"/>
          <w:sz w:val="22"/>
        </w:rPr>
        <w:t>Layer (c) Side-Effect Action &amp; Verification:</w:t>
      </w:r>
      <w:r>
        <w:rPr>
          <w:rFonts w:ascii="Times New Roman" w:hAnsi="Times New Roman"/>
          <w:color w:val="000000"/>
          <w:sz w:val="22"/>
        </w:rPr>
        <w:t xml:space="preserve"> Executes transactional database writes via register_ctxh_activity and immediately invokes the verify read tool get_ctxh_status to confirm data persistence.</w:t>
      </w:r>
    </w:p>
    <w:p w14:paraId="423964F1">
      <w:r>
        <w:br w:type="page"/>
      </w:r>
    </w:p>
    <w:p w14:paraId="7B0DFE14">
      <w:pPr>
        <w:keepNext/>
        <w:spacing w:before="220" w:after="80"/>
      </w:pPr>
      <w:r>
        <w:rPr>
          <w:rFonts w:ascii="Times New Roman" w:hAnsi="Times New Roman"/>
          <w:b/>
          <w:color w:val="000000"/>
          <w:sz w:val="27"/>
        </w:rPr>
        <w:t>CHAPTER 2: SYSTEM ARCHITECTURE &amp; REACT AGENT MECHANISM</w:t>
      </w:r>
    </w:p>
    <w:p w14:paraId="23733B17">
      <w:pPr>
        <w:keepNext/>
        <w:spacing w:before="130" w:after="40"/>
      </w:pPr>
      <w:r>
        <w:rPr>
          <w:rFonts w:ascii="Times New Roman" w:hAnsi="Times New Roman"/>
          <w:b/>
          <w:color w:val="000000"/>
          <w:sz w:val="24"/>
        </w:rPr>
        <w:t>2.1. Overall Tiered System Architecture</w:t>
      </w:r>
    </w:p>
    <w:p w14:paraId="3220247F">
      <w:pPr>
        <w:spacing w:before="0" w:after="60" w:line="288" w:lineRule="auto"/>
        <w:jc w:val="both"/>
      </w:pPr>
      <w:r>
        <w:rPr>
          <w:rFonts w:ascii="Times New Roman" w:hAnsi="Times New Roman"/>
          <w:b w:val="0"/>
          <w:i w:val="0"/>
          <w:color w:val="000000"/>
          <w:sz w:val="23"/>
        </w:rPr>
        <w:t>The system adopts a decoupled Client-Server architecture that strictly separates reasoning logic from tool execution and persistent storage via the open Model Context Protocol (MCP) over standard I/O (stdio):</w:t>
      </w:r>
    </w:p>
    <w:tbl>
      <w:tblPr>
        <w:tblStyle w:val="12"/>
        <w:tblW w:w="0" w:type="auto"/>
        <w:jc w:val="center"/>
        <w:tblLayout w:type="autofit"/>
        <w:tblCellMar>
          <w:top w:w="0" w:type="dxa"/>
          <w:left w:w="108" w:type="dxa"/>
          <w:bottom w:w="0" w:type="dxa"/>
          <w:right w:w="108" w:type="dxa"/>
        </w:tblCellMar>
      </w:tblPr>
      <w:tblGrid>
        <w:gridCol w:w="9354"/>
      </w:tblGrid>
      <w:tr w14:paraId="70DAA14D">
        <w:tblPrEx>
          <w:tblCellMar>
            <w:top w:w="0" w:type="dxa"/>
            <w:left w:w="108" w:type="dxa"/>
            <w:bottom w:w="0" w:type="dxa"/>
            <w:right w:w="108" w:type="dxa"/>
          </w:tblCellMar>
        </w:tblPrEx>
        <w:trPr>
          <w:jc w:val="center"/>
        </w:trPr>
        <w:tc>
          <w:tcPr>
            <w:tcW w:w="9354" w:type="dxa"/>
            <w:tcBorders>
              <w:top w:val="single" w:color="999999" w:sz="6" w:space="0"/>
              <w:left w:val="single" w:color="999999" w:sz="6" w:space="0"/>
              <w:bottom w:val="single" w:color="999999" w:sz="6" w:space="0"/>
              <w:right w:val="single" w:color="999999" w:sz="6" w:space="0"/>
            </w:tcBorders>
            <w:shd w:val="clear" w:color="auto" w:fill="F8FAFC"/>
            <w:tcMar>
              <w:top w:w="90" w:type="dxa"/>
              <w:left w:w="130" w:type="dxa"/>
              <w:bottom w:w="90" w:type="dxa"/>
              <w:right w:w="130" w:type="dxa"/>
            </w:tcMar>
          </w:tcPr>
          <w:p w14:paraId="0E5C1B88">
            <w:pPr>
              <w:spacing w:after="40" w:line="276" w:lineRule="auto"/>
            </w:pPr>
            <w:r>
              <w:rPr>
                <w:rFonts w:ascii="Consolas" w:hAnsi="Consolas"/>
                <w:color w:val="000000"/>
                <w:sz w:val="17"/>
              </w:rPr>
              <w:t>+-----------------------------------------------------------------------------------+</w:t>
            </w:r>
            <w:r>
              <w:rPr>
                <w:rFonts w:ascii="Consolas" w:hAnsi="Consolas"/>
                <w:color w:val="000000"/>
                <w:sz w:val="17"/>
              </w:rPr>
              <w:br w:type="textWrapping"/>
            </w:r>
            <w:r>
              <w:rPr>
                <w:rFonts w:ascii="Consolas" w:hAnsi="Consolas"/>
                <w:color w:val="000000"/>
                <w:sz w:val="17"/>
              </w:rPr>
              <w:t>|                            USER INTERACTION (Terminal Client)                     |</w:t>
            </w:r>
            <w:r>
              <w:rPr>
                <w:rFonts w:ascii="Consolas" w:hAnsi="Consolas"/>
                <w:color w:val="000000"/>
                <w:sz w:val="17"/>
              </w:rPr>
              <w:br w:type="textWrapping"/>
            </w:r>
            <w:r>
              <w:rPr>
                <w:rFonts w:ascii="Consolas" w:hAnsi="Consolas"/>
                <w:color w:val="000000"/>
                <w:sz w:val="17"/>
              </w:rPr>
              <w:t>+-----------------------------------------------------------------------------------+</w:t>
            </w:r>
            <w:r>
              <w:rPr>
                <w:rFonts w:ascii="Consolas" w:hAnsi="Consolas"/>
                <w:color w:val="000000"/>
                <w:sz w:val="17"/>
              </w:rPr>
              <w:br w:type="textWrapping"/>
            </w:r>
            <w:r>
              <w:rPr>
                <w:rFonts w:ascii="Consolas" w:hAnsi="Consolas"/>
                <w:color w:val="000000"/>
                <w:sz w:val="17"/>
              </w:rPr>
              <w:t xml:space="preserve">                                       │ (1) User Query</w:t>
            </w:r>
            <w:r>
              <w:rPr>
                <w:rFonts w:ascii="Consolas" w:hAnsi="Consolas"/>
                <w:color w:val="000000"/>
                <w:sz w:val="17"/>
              </w:rPr>
              <w:br w:type="textWrapping"/>
            </w:r>
            <w:r>
              <w:rPr>
                <w:rFonts w:ascii="Consolas" w:hAnsi="Consolas"/>
                <w:color w:val="000000"/>
                <w:sz w:val="17"/>
              </w:rPr>
              <w:t xml:space="preserve">                                       ▼</w:t>
            </w:r>
            <w:r>
              <w:rPr>
                <w:rFonts w:ascii="Consolas" w:hAnsi="Consolas"/>
                <w:color w:val="000000"/>
                <w:sz w:val="17"/>
              </w:rPr>
              <w:br w:type="textWrapping"/>
            </w:r>
            <w:r>
              <w:rPr>
                <w:rFonts w:ascii="Consolas" w:hAnsi="Consolas"/>
                <w:color w:val="000000"/>
                <w:sz w:val="17"/>
              </w:rPr>
              <w:t>+───────────────────────────────────────────────────────────────────────────────────+</w:t>
            </w:r>
            <w:r>
              <w:rPr>
                <w:rFonts w:ascii="Consolas" w:hAnsi="Consolas"/>
                <w:color w:val="000000"/>
                <w:sz w:val="17"/>
              </w:rPr>
              <w:br w:type="textWrapping"/>
            </w:r>
            <w:r>
              <w:rPr>
                <w:rFonts w:ascii="Consolas" w:hAnsi="Consolas"/>
                <w:color w:val="000000"/>
                <w:sz w:val="17"/>
              </w:rPr>
              <w:t>|               CUSTOM ReAct AGENT LOOP (rag_client.py - MAX_STEPS = 6)             |</w:t>
            </w:r>
            <w:r>
              <w:rPr>
                <w:rFonts w:ascii="Consolas" w:hAnsi="Consolas"/>
                <w:color w:val="000000"/>
                <w:sz w:val="17"/>
              </w:rPr>
              <w:br w:type="textWrapping"/>
            </w:r>
            <w:r>
              <w:rPr>
                <w:rFonts w:ascii="Consolas" w:hAnsi="Consolas"/>
                <w:color w:val="000000"/>
                <w:sz w:val="17"/>
              </w:rPr>
              <w:t>|   • State Tracking        • Exponential Backoff Retry (Groq API: qwen3.8-27b)     |</w:t>
            </w:r>
            <w:r>
              <w:rPr>
                <w:rFonts w:ascii="Consolas" w:hAnsi="Consolas"/>
                <w:color w:val="000000"/>
                <w:sz w:val="17"/>
              </w:rPr>
              <w:br w:type="textWrapping"/>
            </w:r>
            <w:r>
              <w:rPr>
                <w:rFonts w:ascii="Consolas" w:hAnsi="Consolas"/>
                <w:color w:val="000000"/>
                <w:sz w:val="17"/>
              </w:rPr>
              <w:t>|   • Safe Tool Call Parser • Dynamic Prompt Injection (prompts/system_agent.txt)   |</w:t>
            </w:r>
            <w:r>
              <w:rPr>
                <w:rFonts w:ascii="Consolas" w:hAnsi="Consolas"/>
                <w:color w:val="000000"/>
                <w:sz w:val="17"/>
              </w:rPr>
              <w:br w:type="textWrapping"/>
            </w:r>
            <w:r>
              <w:rPr>
                <w:rFonts w:ascii="Consolas" w:hAnsi="Consolas"/>
                <w:color w:val="000000"/>
                <w:sz w:val="17"/>
              </w:rPr>
              <w:t>+───────────────────────────────────────────────────────────────────────────────────+</w:t>
            </w:r>
            <w:r>
              <w:rPr>
                <w:rFonts w:ascii="Consolas" w:hAnsi="Consolas"/>
                <w:color w:val="000000"/>
                <w:sz w:val="17"/>
              </w:rPr>
              <w:br w:type="textWrapping"/>
            </w:r>
            <w:r>
              <w:rPr>
                <w:rFonts w:ascii="Consolas" w:hAnsi="Consolas"/>
                <w:color w:val="000000"/>
                <w:sz w:val="17"/>
              </w:rPr>
              <w:t xml:space="preserve">       ▲                               │                                ▲</w:t>
            </w:r>
            <w:r>
              <w:rPr>
                <w:rFonts w:ascii="Consolas" w:hAnsi="Consolas"/>
                <w:color w:val="000000"/>
                <w:sz w:val="17"/>
              </w:rPr>
              <w:br w:type="textWrapping"/>
            </w:r>
            <w:r>
              <w:rPr>
                <w:rFonts w:ascii="Consolas" w:hAnsi="Consolas"/>
                <w:color w:val="000000"/>
                <w:sz w:val="17"/>
              </w:rPr>
              <w:t xml:space="preserve">       │ (JSON Output)                 │ (2) Stdio Protocol             │ (5) Telemetry</w:t>
            </w:r>
            <w:r>
              <w:rPr>
                <w:rFonts w:ascii="Consolas" w:hAnsi="Consolas"/>
                <w:color w:val="000000"/>
                <w:sz w:val="17"/>
              </w:rPr>
              <w:br w:type="textWrapping"/>
            </w:r>
            <w:r>
              <w:rPr>
                <w:rFonts w:ascii="Consolas" w:hAnsi="Consolas"/>
                <w:color w:val="000000"/>
                <w:sz w:val="17"/>
              </w:rPr>
              <w:t xml:space="preserve">       │                               ▼ (Dynamic Tool Discovery)       │     Logger</w:t>
            </w:r>
            <w:r>
              <w:rPr>
                <w:rFonts w:ascii="Consolas" w:hAnsi="Consolas"/>
                <w:color w:val="000000"/>
                <w:sz w:val="17"/>
              </w:rPr>
              <w:br w:type="textWrapping"/>
            </w:r>
            <w:r>
              <w:rPr>
                <w:rFonts w:ascii="Consolas" w:hAnsi="Consolas"/>
                <w:color w:val="000000"/>
                <w:sz w:val="17"/>
              </w:rPr>
              <w:t xml:space="preserve">       │                +──────────────────────────────────────+        │</w:t>
            </w:r>
            <w:r>
              <w:rPr>
                <w:rFonts w:ascii="Consolas" w:hAnsi="Consolas"/>
                <w:color w:val="000000"/>
                <w:sz w:val="17"/>
              </w:rPr>
              <w:br w:type="textWrapping"/>
            </w:r>
            <w:r>
              <w:rPr>
                <w:rFonts w:ascii="Consolas" w:hAnsi="Consolas"/>
                <w:color w:val="000000"/>
                <w:sz w:val="17"/>
              </w:rPr>
              <w:t xml:space="preserve">       │                |   MCP KNOWLEDGE SERVER (rag_server)  |        │</w:t>
            </w:r>
            <w:r>
              <w:rPr>
                <w:rFonts w:ascii="Consolas" w:hAnsi="Consolas"/>
                <w:color w:val="000000"/>
                <w:sz w:val="17"/>
              </w:rPr>
              <w:br w:type="textWrapping"/>
            </w:r>
            <w:r>
              <w:rPr>
                <w:rFonts w:ascii="Consolas" w:hAnsi="Consolas"/>
                <w:color w:val="000000"/>
                <w:sz w:val="17"/>
              </w:rPr>
              <w:t xml:space="preserve">       │                +──────────────────────────────────────+        │</w:t>
            </w:r>
            <w:r>
              <w:rPr>
                <w:rFonts w:ascii="Consolas" w:hAnsi="Consolas"/>
                <w:color w:val="000000"/>
                <w:sz w:val="17"/>
              </w:rPr>
              <w:br w:type="textWrapping"/>
            </w:r>
            <w:r>
              <w:rPr>
                <w:rFonts w:ascii="Consolas" w:hAnsi="Consolas"/>
                <w:color w:val="000000"/>
                <w:sz w:val="17"/>
              </w:rPr>
              <w:t xml:space="preserve">       │                               │                                │</w:t>
            </w:r>
            <w:r>
              <w:rPr>
                <w:rFonts w:ascii="Consolas" w:hAnsi="Consolas"/>
                <w:color w:val="000000"/>
                <w:sz w:val="17"/>
              </w:rPr>
              <w:br w:type="textWrapping"/>
            </w:r>
            <w:r>
              <w:rPr>
                <w:rFonts w:ascii="Consolas" w:hAnsi="Consolas"/>
                <w:color w:val="000000"/>
                <w:sz w:val="17"/>
              </w:rPr>
              <w:t xml:space="preserve">       │      ┌────────────────────────┴────────────────────────┐       │</w:t>
            </w:r>
            <w:r>
              <w:rPr>
                <w:rFonts w:ascii="Consolas" w:hAnsi="Consolas"/>
                <w:color w:val="000000"/>
                <w:sz w:val="17"/>
              </w:rPr>
              <w:br w:type="textWrapping"/>
            </w:r>
            <w:r>
              <w:rPr>
                <w:rFonts w:ascii="Consolas" w:hAnsi="Consolas"/>
                <w:color w:val="000000"/>
                <w:sz w:val="17"/>
              </w:rPr>
              <w:t xml:space="preserve">       │      ▼                                                 ▼       ▼</w:t>
            </w:r>
            <w:r>
              <w:rPr>
                <w:rFonts w:ascii="Consolas" w:hAnsi="Consolas"/>
                <w:color w:val="000000"/>
                <w:sz w:val="17"/>
              </w:rPr>
              <w:br w:type="textWrapping"/>
            </w:r>
            <w:r>
              <w:rPr>
                <w:rFonts w:ascii="Consolas" w:hAnsi="Consolas"/>
                <w:color w:val="000000"/>
                <w:sz w:val="17"/>
              </w:rPr>
              <w:t>+───────────────────────────+                     +───────────────────────────+</w:t>
            </w:r>
            <w:r>
              <w:rPr>
                <w:rFonts w:ascii="Consolas" w:hAnsi="Consolas"/>
                <w:color w:val="000000"/>
                <w:sz w:val="17"/>
              </w:rPr>
              <w:br w:type="textWrapping"/>
            </w:r>
            <w:r>
              <w:rPr>
                <w:rFonts w:ascii="Consolas" w:hAnsi="Consolas"/>
                <w:color w:val="000000"/>
                <w:sz w:val="17"/>
              </w:rPr>
              <w:t>|   KNOWLEDGE &amp; RETRIEVAL   |                     |   STUDENT ACTION ENGINE   |</w:t>
            </w:r>
            <w:r>
              <w:rPr>
                <w:rFonts w:ascii="Consolas" w:hAnsi="Consolas"/>
                <w:color w:val="000000"/>
                <w:sz w:val="17"/>
              </w:rPr>
              <w:br w:type="textWrapping"/>
            </w:r>
            <w:r>
              <w:rPr>
                <w:rFonts w:ascii="Consolas" w:hAnsi="Consolas"/>
                <w:color w:val="000000"/>
                <w:sz w:val="17"/>
              </w:rPr>
              <w:t>| • VectorStore (Hybrid)    |                     | • check_student_exists    |</w:t>
            </w:r>
            <w:r>
              <w:rPr>
                <w:rFonts w:ascii="Consolas" w:hAnsi="Consolas"/>
                <w:color w:val="000000"/>
                <w:sz w:val="17"/>
              </w:rPr>
              <w:br w:type="textWrapping"/>
            </w:r>
            <w:r>
              <w:rPr>
                <w:rFonts w:ascii="Consolas" w:hAnsi="Consolas"/>
                <w:color w:val="000000"/>
                <w:sz w:val="17"/>
              </w:rPr>
              <w:t>| • BM25Okapi + Jina v3     |                     | • check_graduation_status |</w:t>
            </w:r>
            <w:r>
              <w:rPr>
                <w:rFonts w:ascii="Consolas" w:hAnsi="Consolas"/>
                <w:color w:val="000000"/>
                <w:sz w:val="17"/>
              </w:rPr>
              <w:br w:type="textWrapping"/>
            </w:r>
            <w:r>
              <w:rPr>
                <w:rFonts w:ascii="Consolas" w:hAnsi="Consolas"/>
                <w:color w:val="000000"/>
                <w:sz w:val="17"/>
              </w:rPr>
              <w:t>| • Version Filter Logic    |                     | • register_ctxh (Write)   |</w:t>
            </w:r>
            <w:r>
              <w:rPr>
                <w:rFonts w:ascii="Consolas" w:hAnsi="Consolas"/>
                <w:color w:val="000000"/>
                <w:sz w:val="17"/>
              </w:rPr>
              <w:br w:type="textWrapping"/>
            </w:r>
            <w:r>
              <w:rPr>
                <w:rFonts w:ascii="Consolas" w:hAnsi="Consolas"/>
                <w:color w:val="000000"/>
                <w:sz w:val="17"/>
              </w:rPr>
              <w:t>| • Doc Loaders (.pdf,.docx)|                     | • get_ctxh_status(Verify) |</w:t>
            </w:r>
            <w:r>
              <w:rPr>
                <w:rFonts w:ascii="Consolas" w:hAnsi="Consolas"/>
                <w:color w:val="000000"/>
                <w:sz w:val="17"/>
              </w:rPr>
              <w:br w:type="textWrapping"/>
            </w:r>
            <w:r>
              <w:rPr>
                <w:rFonts w:ascii="Consolas" w:hAnsi="Consolas"/>
                <w:color w:val="000000"/>
                <w:sz w:val="17"/>
              </w:rPr>
              <w:t>+───────────────────────────+                     +───────────────────────────+</w:t>
            </w:r>
          </w:p>
        </w:tc>
      </w:tr>
    </w:tbl>
    <w:p w14:paraId="33565282">
      <w:pPr>
        <w:spacing w:before="40" w:after="80"/>
        <w:jc w:val="center"/>
      </w:pPr>
      <w:r>
        <w:rPr>
          <w:rFonts w:ascii="Times New Roman" w:hAnsi="Times New Roman"/>
          <w:i/>
          <w:color w:val="000000"/>
          <w:sz w:val="19"/>
        </w:rPr>
        <w:t>Figure 2.1: Tiered System Architecture Integrated with Model Context Protocol (MCP).</w:t>
      </w:r>
    </w:p>
    <w:p w14:paraId="6551DB99">
      <w:pPr>
        <w:keepNext/>
        <w:spacing w:before="130" w:after="40"/>
      </w:pPr>
      <w:r>
        <w:rPr>
          <w:rFonts w:ascii="Times New Roman" w:hAnsi="Times New Roman"/>
          <w:b/>
          <w:color w:val="000000"/>
          <w:sz w:val="24"/>
        </w:rPr>
        <w:t>2.2. Custom ReAct Agent Loop Engine (rag_client.py)</w:t>
      </w:r>
    </w:p>
    <w:p w14:paraId="5742A3CF">
      <w:pPr>
        <w:spacing w:before="0" w:after="60" w:line="288" w:lineRule="auto"/>
        <w:jc w:val="both"/>
      </w:pPr>
      <w:r>
        <w:rPr>
          <w:rFonts w:ascii="Times New Roman" w:hAnsi="Times New Roman"/>
          <w:b w:val="0"/>
          <w:i w:val="0"/>
          <w:color w:val="000000"/>
          <w:sz w:val="23"/>
        </w:rPr>
        <w:t>Rather than relying on heavyweight third-party agent frameworks (e.g., LangChain or CrewAI), our team engineered a lightweight native Python ReAct loop:</w:t>
      </w:r>
    </w:p>
    <w:p w14:paraId="3CDE0219">
      <w:pPr>
        <w:pStyle w:val="23"/>
        <w:spacing w:before="0" w:after="40" w:line="283" w:lineRule="auto"/>
        <w:jc w:val="both"/>
      </w:pPr>
      <w:r>
        <w:rPr>
          <w:rFonts w:ascii="Times New Roman" w:hAnsi="Times New Roman"/>
          <w:b/>
          <w:color w:val="000000"/>
          <w:sz w:val="22"/>
        </w:rPr>
        <w:t>Bounded Reasoning Step Limits:</w:t>
      </w:r>
      <w:r>
        <w:rPr>
          <w:rFonts w:ascii="Times New Roman" w:hAnsi="Times New Roman"/>
          <w:color w:val="000000"/>
          <w:sz w:val="22"/>
        </w:rPr>
        <w:t xml:space="preserve"> Enforces MAX_STEPS = 6 to prevent runaway tool loops when the model fails to reach a terminal state, conserving token budgets and bounding latency.</w:t>
      </w:r>
    </w:p>
    <w:p w14:paraId="52760755">
      <w:pPr>
        <w:pStyle w:val="23"/>
        <w:spacing w:before="0" w:after="40" w:line="283" w:lineRule="auto"/>
        <w:jc w:val="both"/>
      </w:pPr>
      <w:r>
        <w:rPr>
          <w:rFonts w:ascii="Times New Roman" w:hAnsi="Times New Roman"/>
          <w:b/>
          <w:color w:val="000000"/>
          <w:sz w:val="22"/>
        </w:rPr>
        <w:t>Standardized Context Management:</w:t>
      </w:r>
      <w:r>
        <w:rPr>
          <w:rFonts w:ascii="Times New Roman" w:hAnsi="Times New Roman"/>
          <w:color w:val="000000"/>
          <w:sz w:val="22"/>
        </w:rPr>
        <w:t xml:space="preserve"> Maintains conversation state across iterations using structured message payloads: messages = [system, user, assistant_thought, tool_call, tool_output].</w:t>
      </w:r>
    </w:p>
    <w:p w14:paraId="28F523F2">
      <w:pPr>
        <w:pStyle w:val="23"/>
        <w:spacing w:before="0" w:after="40" w:line="283" w:lineRule="auto"/>
        <w:jc w:val="both"/>
      </w:pPr>
      <w:r>
        <w:rPr>
          <w:rFonts w:ascii="Times New Roman" w:hAnsi="Times New Roman"/>
          <w:b/>
          <w:color w:val="000000"/>
          <w:sz w:val="22"/>
        </w:rPr>
        <w:t>Fault-Tolerant Exponential Backoff:</w:t>
      </w:r>
      <w:r>
        <w:rPr>
          <w:rFonts w:ascii="Times New Roman" w:hAnsi="Times New Roman"/>
          <w:color w:val="000000"/>
          <w:sz w:val="22"/>
        </w:rPr>
        <w:t xml:space="preserve"> Implements call_groq_with_retry with 3 retry attempts and exponential backoff delays, reliably recovering from HTTP 429 Rate Limits and intermittent connection issues.</w:t>
      </w:r>
    </w:p>
    <w:p w14:paraId="01388777">
      <w:pPr>
        <w:pStyle w:val="23"/>
        <w:spacing w:before="0" w:after="40" w:line="283" w:lineRule="auto"/>
        <w:jc w:val="both"/>
      </w:pPr>
      <w:r>
        <w:rPr>
          <w:rFonts w:ascii="Times New Roman" w:hAnsi="Times New Roman"/>
          <w:b/>
          <w:color w:val="000000"/>
          <w:sz w:val="22"/>
        </w:rPr>
        <w:t>Robust Tool Parsing &amp; Validation:</w:t>
      </w:r>
      <w:r>
        <w:rPr>
          <w:rFonts w:ascii="Times New Roman" w:hAnsi="Times New Roman"/>
          <w:color w:val="000000"/>
          <w:sz w:val="22"/>
        </w:rPr>
        <w:t xml:space="preserve"> Enforces strict JSON schema validation on tool call invocations before dispatching commands across the stdio transport layer.</w:t>
      </w:r>
    </w:p>
    <w:p w14:paraId="712A0C03">
      <w:pPr>
        <w:keepNext/>
        <w:spacing w:before="130" w:after="40"/>
      </w:pPr>
      <w:r>
        <w:rPr>
          <w:rFonts w:ascii="Times New Roman" w:hAnsi="Times New Roman"/>
          <w:b/>
          <w:color w:val="000000"/>
          <w:sz w:val="24"/>
        </w:rPr>
        <w:t>2.3. Autonomous MCP Knowledge Server (rag_server.py)</w:t>
      </w:r>
    </w:p>
    <w:p w14:paraId="0D2598D6">
      <w:pPr>
        <w:pStyle w:val="23"/>
        <w:spacing w:before="0" w:after="40" w:line="283" w:lineRule="auto"/>
        <w:jc w:val="both"/>
      </w:pPr>
      <w:r>
        <w:rPr>
          <w:rFonts w:ascii="Times New Roman" w:hAnsi="Times New Roman"/>
          <w:b/>
          <w:color w:val="000000"/>
          <w:sz w:val="22"/>
        </w:rPr>
        <w:t>Standard I/O Protocol:</w:t>
      </w:r>
      <w:r>
        <w:rPr>
          <w:rFonts w:ascii="Times New Roman" w:hAnsi="Times New Roman"/>
          <w:color w:val="000000"/>
          <w:sz w:val="22"/>
        </w:rPr>
        <w:t xml:space="preserve"> Communicates bidirectionally via standard stdio streams, guaranteeing clean process isolation, modular maintenance, and portable container execution.</w:t>
      </w:r>
    </w:p>
    <w:p w14:paraId="68B74851">
      <w:pPr>
        <w:pStyle w:val="23"/>
        <w:spacing w:before="0" w:after="40" w:line="283" w:lineRule="auto"/>
        <w:jc w:val="both"/>
      </w:pPr>
      <w:r>
        <w:rPr>
          <w:rFonts w:ascii="Times New Roman" w:hAnsi="Times New Roman"/>
          <w:b/>
          <w:color w:val="000000"/>
          <w:sz w:val="22"/>
        </w:rPr>
        <w:t>Dynamic Tool Discovery:</w:t>
      </w:r>
      <w:r>
        <w:rPr>
          <w:rFonts w:ascii="Times New Roman" w:hAnsi="Times New Roman"/>
          <w:color w:val="000000"/>
          <w:sz w:val="22"/>
        </w:rPr>
        <w:t xml:space="preserve"> Exposes tools dynamically via mcp.tool() decorators, allowing the client session to discover capabilities and schemas at startup without hardcoded configs.</w:t>
      </w:r>
    </w:p>
    <w:p w14:paraId="2991D9E4">
      <w:r>
        <w:br w:type="page"/>
      </w:r>
    </w:p>
    <w:p w14:paraId="50556797">
      <w:pPr>
        <w:keepNext/>
        <w:spacing w:before="220" w:after="80"/>
      </w:pPr>
      <w:r>
        <w:rPr>
          <w:rFonts w:ascii="Times New Roman" w:hAnsi="Times New Roman"/>
          <w:b/>
          <w:color w:val="000000"/>
          <w:sz w:val="27"/>
        </w:rPr>
        <w:t>CHAPTER 3: MULTI-VERSION KNOWLEDGE MANAGEMENT &amp; HYBRID RETRIEVAL (LAYER A)</w:t>
      </w:r>
    </w:p>
    <w:p w14:paraId="05643B95">
      <w:pPr>
        <w:keepNext/>
        <w:spacing w:before="130" w:after="40"/>
      </w:pPr>
      <w:r>
        <w:rPr>
          <w:rFonts w:ascii="Times New Roman" w:hAnsi="Times New Roman"/>
          <w:b/>
          <w:color w:val="000000"/>
          <w:sz w:val="24"/>
        </w:rPr>
        <w:t>3.1. Multi-Format Document Ingestion Pipeline</w:t>
      </w:r>
    </w:p>
    <w:p w14:paraId="38198CD1">
      <w:pPr>
        <w:spacing w:before="0" w:after="60" w:line="288" w:lineRule="auto"/>
        <w:jc w:val="both"/>
      </w:pPr>
      <w:r>
        <w:rPr>
          <w:rFonts w:ascii="Times New Roman" w:hAnsi="Times New Roman"/>
          <w:b w:val="0"/>
          <w:i w:val="0"/>
          <w:color w:val="000000"/>
          <w:sz w:val="23"/>
        </w:rPr>
        <w:t>The system implements a Factory Pattern through DocumentLoaderFactory to ingest heterogeneous regulation files from data/:</w:t>
      </w:r>
    </w:p>
    <w:p w14:paraId="28BA60E4">
      <w:pPr>
        <w:pStyle w:val="23"/>
        <w:spacing w:before="0" w:after="40" w:line="283" w:lineRule="auto"/>
        <w:jc w:val="both"/>
      </w:pPr>
      <w:r>
        <w:rPr>
          <w:rFonts w:ascii="Times New Roman" w:hAnsi="Times New Roman"/>
          <w:b/>
          <w:color w:val="000000"/>
          <w:sz w:val="22"/>
        </w:rPr>
        <w:t>PDF Loader (pypdf):</w:t>
      </w:r>
      <w:r>
        <w:rPr>
          <w:rFonts w:ascii="Times New Roman" w:hAnsi="Times New Roman"/>
          <w:color w:val="000000"/>
          <w:sz w:val="22"/>
        </w:rPr>
        <w:t xml:space="preserve"> Extracts structured text page-by-page while parsing tables of categorized volunteer activities.</w:t>
      </w:r>
    </w:p>
    <w:p w14:paraId="14D4EB09">
      <w:pPr>
        <w:pStyle w:val="23"/>
        <w:spacing w:before="0" w:after="40" w:line="283" w:lineRule="auto"/>
        <w:jc w:val="both"/>
      </w:pPr>
      <w:r>
        <w:rPr>
          <w:rFonts w:ascii="Times New Roman" w:hAnsi="Times New Roman"/>
          <w:b/>
          <w:color w:val="000000"/>
          <w:sz w:val="22"/>
        </w:rPr>
        <w:t>DOCX Loader (python-docx):</w:t>
      </w:r>
      <w:r>
        <w:rPr>
          <w:rFonts w:ascii="Times New Roman" w:hAnsi="Times New Roman"/>
          <w:color w:val="000000"/>
          <w:sz w:val="22"/>
        </w:rPr>
        <w:t xml:space="preserve"> Parses regulation text hierarchies, activity matrices, and document properties.</w:t>
      </w:r>
    </w:p>
    <w:p w14:paraId="0A7309D2">
      <w:pPr>
        <w:pStyle w:val="23"/>
        <w:spacing w:before="0" w:after="40" w:line="283" w:lineRule="auto"/>
        <w:jc w:val="both"/>
      </w:pPr>
      <w:r>
        <w:rPr>
          <w:rFonts w:ascii="Times New Roman" w:hAnsi="Times New Roman"/>
          <w:b/>
          <w:color w:val="000000"/>
          <w:sz w:val="22"/>
        </w:rPr>
        <w:t>Text &amp; Markdown Loader:</w:t>
      </w:r>
      <w:r>
        <w:rPr>
          <w:rFonts w:ascii="Times New Roman" w:hAnsi="Times New Roman"/>
          <w:color w:val="000000"/>
          <w:sz w:val="22"/>
        </w:rPr>
        <w:t xml:space="preserve"> Reads UTF-8 encoded files with support for front-matter metadata blocks.</w:t>
      </w:r>
    </w:p>
    <w:p w14:paraId="535B1722">
      <w:pPr>
        <w:pStyle w:val="23"/>
        <w:spacing w:before="0" w:after="40" w:line="283" w:lineRule="auto"/>
        <w:jc w:val="both"/>
      </w:pPr>
      <w:r>
        <w:rPr>
          <w:rFonts w:ascii="Times New Roman" w:hAnsi="Times New Roman"/>
          <w:b/>
          <w:color w:val="000000"/>
          <w:sz w:val="22"/>
        </w:rPr>
        <w:t>Excel Loader (openpyxl):</w:t>
      </w:r>
      <w:r>
        <w:rPr>
          <w:rFonts w:ascii="Times New Roman" w:hAnsi="Times New Roman"/>
          <w:color w:val="000000"/>
          <w:sz w:val="22"/>
        </w:rPr>
        <w:t xml:space="preserve"> Ingests structured tabular records of student rosters and historical participation logs.</w:t>
      </w:r>
    </w:p>
    <w:p w14:paraId="10D53F6F">
      <w:pPr>
        <w:keepNext/>
        <w:spacing w:before="130" w:after="40"/>
      </w:pPr>
      <w:r>
        <w:rPr>
          <w:rFonts w:ascii="Times New Roman" w:hAnsi="Times New Roman"/>
          <w:b/>
          <w:color w:val="000000"/>
          <w:sz w:val="24"/>
        </w:rPr>
        <w:t>3.2. Metadata Management &amp; Version Filtering Architecture</w:t>
      </w:r>
    </w:p>
    <w:p w14:paraId="15E46FC3">
      <w:pPr>
        <w:spacing w:before="0" w:after="60" w:line="288" w:lineRule="auto"/>
        <w:jc w:val="both"/>
      </w:pPr>
      <w:r>
        <w:rPr>
          <w:rFonts w:ascii="Times New Roman" w:hAnsi="Times New Roman"/>
          <w:b w:val="0"/>
          <w:i w:val="0"/>
          <w:color w:val="000000"/>
          <w:sz w:val="23"/>
        </w:rPr>
        <w:t>Regulations evolve across academic years. The metadata extraction module (src/loaders/metadata.py) applies a 3-tier hierarchy:</w:t>
      </w:r>
    </w:p>
    <w:p w14:paraId="4F3A7EE9">
      <w:pPr>
        <w:pStyle w:val="23"/>
        <w:spacing w:before="0" w:after="40" w:line="283" w:lineRule="auto"/>
        <w:jc w:val="both"/>
      </w:pPr>
      <w:r>
        <w:rPr>
          <w:rFonts w:ascii="Times New Roman" w:hAnsi="Times New Roman"/>
          <w:b/>
          <w:color w:val="000000"/>
          <w:sz w:val="22"/>
        </w:rPr>
        <w:t>Tier 1 - YAML Front-Matter Block:</w:t>
      </w:r>
      <w:r>
        <w:rPr>
          <w:rFonts w:ascii="Times New Roman" w:hAnsi="Times New Roman"/>
          <w:color w:val="000000"/>
          <w:sz w:val="22"/>
        </w:rPr>
        <w:t xml:space="preserve"> Extracts front-matter headers (--- doc_id, version, title ---). Headers are stripped post-parsing to prevent embedding noise.</w:t>
      </w:r>
    </w:p>
    <w:p w14:paraId="03891347">
      <w:pPr>
        <w:pStyle w:val="23"/>
        <w:spacing w:before="0" w:after="40" w:line="283" w:lineRule="auto"/>
        <w:jc w:val="both"/>
      </w:pPr>
      <w:r>
        <w:rPr>
          <w:rFonts w:ascii="Times New Roman" w:hAnsi="Times New Roman"/>
          <w:b/>
          <w:color w:val="000000"/>
          <w:sz w:val="22"/>
        </w:rPr>
        <w:t>Tier 2 - Filename Regular Expressions:</w:t>
      </w:r>
      <w:r>
        <w:rPr>
          <w:rFonts w:ascii="Times New Roman" w:hAnsi="Times New Roman"/>
          <w:color w:val="000000"/>
          <w:sz w:val="22"/>
        </w:rPr>
        <w:t xml:space="preserve"> For plain files lacking headers, extracts attributes using regex: </w:t>
      </w:r>
    </w:p>
    <w:p w14:paraId="01C10788">
      <w:pPr>
        <w:pStyle w:val="23"/>
        <w:spacing w:before="0" w:after="40" w:line="283" w:lineRule="auto"/>
        <w:jc w:val="both"/>
      </w:pPr>
      <w:r>
        <w:rPr>
          <w:rFonts w:ascii="Times New Roman" w:hAnsi="Times New Roman"/>
          <w:b/>
          <w:color w:val="000000"/>
          <w:sz w:val="22"/>
        </w:rPr>
        <w:t>Tier 3 - Safe Fallback Defaults:</w:t>
      </w:r>
      <w:r>
        <w:rPr>
          <w:rFonts w:ascii="Times New Roman" w:hAnsi="Times New Roman"/>
          <w:color w:val="000000"/>
          <w:sz w:val="22"/>
        </w:rPr>
        <w:t xml:space="preserve"> Assigns the filename as doc_id with an empty version string when no pattern matches.</w:t>
      </w:r>
    </w:p>
    <w:p w14:paraId="3C5E7B06">
      <w:pPr>
        <w:spacing w:before="0" w:after="60" w:line="288" w:lineRule="auto"/>
        <w:jc w:val="both"/>
      </w:pPr>
      <w:r>
        <w:rPr>
          <w:rFonts w:ascii="Times New Roman" w:hAnsi="Times New Roman"/>
          <w:b w:val="0"/>
          <w:i w:val="0"/>
          <w:color w:val="000000"/>
          <w:sz w:val="23"/>
        </w:rPr>
        <w:t>Version Resolution Rules: In search_ctxh_rules, when no specific year is requested, retrieved passages are grouped by doc_id to retain only the highest active version. When a year parameter is provided, the index filters strictly for that academic year.</w:t>
      </w:r>
    </w:p>
    <w:p w14:paraId="6F820A10">
      <w:pPr>
        <w:keepNext/>
        <w:spacing w:before="130" w:after="40"/>
      </w:pPr>
      <w:r>
        <w:rPr>
          <w:rFonts w:ascii="Times New Roman" w:hAnsi="Times New Roman"/>
          <w:b/>
          <w:color w:val="000000"/>
          <w:sz w:val="24"/>
        </w:rPr>
        <w:t>3.3. Recursive Semantic Document Chunking</w:t>
      </w:r>
    </w:p>
    <w:p w14:paraId="559150D5">
      <w:pPr>
        <w:spacing w:before="0" w:after="60" w:line="288" w:lineRule="auto"/>
        <w:jc w:val="both"/>
      </w:pPr>
      <w:r>
        <w:rPr>
          <w:rFonts w:ascii="Times New Roman" w:hAnsi="Times New Roman"/>
          <w:b w:val="0"/>
          <w:i w:val="0"/>
          <w:color w:val="000000"/>
          <w:sz w:val="23"/>
        </w:rPr>
        <w:t>To preserve legal and operational context, the system applies RecursiveChunker:</w:t>
      </w:r>
    </w:p>
    <w:p w14:paraId="0D5F766D">
      <w:pPr>
        <w:pStyle w:val="23"/>
        <w:spacing w:before="0" w:after="40" w:line="283" w:lineRule="auto"/>
        <w:jc w:val="both"/>
      </w:pPr>
      <w:r>
        <w:rPr>
          <w:rFonts w:ascii="Times New Roman" w:hAnsi="Times New Roman"/>
          <w:b/>
          <w:color w:val="000000"/>
          <w:sz w:val="22"/>
        </w:rPr>
        <w:t>Chunk Geometry:</w:t>
      </w:r>
      <w:r>
        <w:rPr>
          <w:rFonts w:ascii="Times New Roman" w:hAnsi="Times New Roman"/>
          <w:color w:val="000000"/>
          <w:sz w:val="22"/>
        </w:rPr>
        <w:t xml:space="preserve"> Configured with chunk_size = 600 characters and chunk_overlap = 80 characters.</w:t>
      </w:r>
    </w:p>
    <w:p w14:paraId="3E33FCA7">
      <w:pPr>
        <w:pStyle w:val="23"/>
        <w:spacing w:before="0" w:after="40" w:line="283" w:lineRule="auto"/>
        <w:jc w:val="both"/>
      </w:pPr>
      <w:r>
        <w:rPr>
          <w:rFonts w:ascii="Times New Roman" w:hAnsi="Times New Roman"/>
          <w:b/>
          <w:color w:val="000000"/>
          <w:sz w:val="22"/>
        </w:rPr>
        <w:t>Separator Hierarchy:</w:t>
      </w:r>
      <w:r>
        <w:rPr>
          <w:rFonts w:ascii="Times New Roman" w:hAnsi="Times New Roman"/>
          <w:color w:val="000000"/>
          <w:sz w:val="22"/>
        </w:rPr>
        <w:t xml:space="preserve"> Splits along semantic boundaries. This ensures regulatory clauses remain grammatically intact.</w:t>
      </w:r>
    </w:p>
    <w:p w14:paraId="6A06313D">
      <w:pPr>
        <w:keepNext/>
        <w:spacing w:before="130" w:after="40"/>
      </w:pPr>
      <w:r>
        <w:rPr>
          <w:rFonts w:ascii="Times New Roman" w:hAnsi="Times New Roman"/>
          <w:b/>
          <w:color w:val="000000"/>
          <w:sz w:val="24"/>
        </w:rPr>
        <w:t>3.4. Hybrid Retrieval Engine (BM25 + Dense Vector)</w:t>
      </w:r>
    </w:p>
    <w:p w14:paraId="3F772802">
      <w:pPr>
        <w:spacing w:before="0" w:after="60" w:line="288" w:lineRule="auto"/>
        <w:jc w:val="both"/>
      </w:pPr>
      <w:r>
        <w:rPr>
          <w:rFonts w:ascii="Times New Roman" w:hAnsi="Times New Roman"/>
          <w:b w:val="0"/>
          <w:i w:val="0"/>
          <w:color w:val="000000"/>
          <w:sz w:val="23"/>
        </w:rPr>
        <w:t>The retrieval engine fuses exact lexical matching with dense semantic embeddings:</w:t>
      </w:r>
    </w:p>
    <w:p w14:paraId="76E8CD02">
      <w:pPr>
        <w:spacing w:before="0" w:after="60" w:line="288" w:lineRule="auto"/>
        <w:jc w:val="both"/>
      </w:pPr>
      <w:r>
        <w:rPr>
          <w:rFonts w:ascii="Times New Roman" w:hAnsi="Times New Roman"/>
          <w:b/>
          <w:i w:val="0"/>
          <w:color w:val="000000"/>
          <w:sz w:val="22"/>
        </w:rPr>
        <w:t>1. Cosine Similarity (Dense Vector - jina-embeddings-v3):</w:t>
      </w:r>
    </w:p>
    <w:p w14:paraId="5A5AF7B3">
      <w:pPr>
        <w:spacing w:before="0" w:after="60" w:line="288" w:lineRule="auto"/>
        <w:jc w:val="center"/>
      </w:pPr>
      <w:r>
        <w:rPr>
          <w:rFonts w:ascii="Times New Roman" w:hAnsi="Times New Roman"/>
          <w:b w:val="0"/>
          <w:i/>
          <w:color w:val="000000"/>
          <w:sz w:val="22"/>
        </w:rPr>
        <w:t xml:space="preserve">     Score_Dense(q, d) = (v_q · v_d) / (||v_q|| × ||v_d||)</w:t>
      </w:r>
    </w:p>
    <w:p w14:paraId="568AE402">
      <w:pPr>
        <w:spacing w:before="0" w:after="60" w:line="288" w:lineRule="auto"/>
        <w:jc w:val="both"/>
      </w:pPr>
      <w:r>
        <w:rPr>
          <w:rFonts w:ascii="Times New Roman" w:hAnsi="Times New Roman"/>
          <w:b/>
          <w:i w:val="0"/>
          <w:color w:val="000000"/>
          <w:sz w:val="22"/>
        </w:rPr>
        <w:t>2. Lexical Score (BM25 Okapi):</w:t>
      </w:r>
    </w:p>
    <w:p w14:paraId="09FFC8A9">
      <w:pPr>
        <w:spacing w:before="0" w:after="60" w:line="288" w:lineRule="auto"/>
        <w:jc w:val="center"/>
      </w:pPr>
      <w:r>
        <w:rPr>
          <w:rFonts w:ascii="Times New Roman" w:hAnsi="Times New Roman"/>
          <w:b w:val="0"/>
          <w:i/>
          <w:color w:val="000000"/>
          <w:sz w:val="22"/>
        </w:rPr>
        <w:t xml:space="preserve">     Score_BM25(q, d) = Σ [ IDF(t) · (f(t, d) · (k1 + 1)) / (f(t, d) + k1 · (1 - b + b · (|d| / avgdl))) ]</w:t>
      </w:r>
    </w:p>
    <w:p w14:paraId="350468B3">
      <w:pPr>
        <w:spacing w:before="0" w:after="60" w:line="288" w:lineRule="auto"/>
        <w:jc w:val="both"/>
      </w:pPr>
      <w:r>
        <w:rPr>
          <w:rFonts w:ascii="Times New Roman" w:hAnsi="Times New Roman"/>
          <w:b w:val="0"/>
          <w:i w:val="0"/>
          <w:color w:val="000000"/>
          <w:sz w:val="23"/>
        </w:rPr>
        <w:t>Scores are Min-Max normalized to the [0, 1] interval and combined via balanced linear interpolation:</w:t>
      </w:r>
    </w:p>
    <w:p w14:paraId="1978C12B">
      <w:pPr>
        <w:spacing w:before="0" w:after="60" w:line="288" w:lineRule="auto"/>
        <w:jc w:val="center"/>
      </w:pPr>
      <w:r>
        <w:rPr>
          <w:rFonts w:ascii="Times New Roman" w:hAnsi="Times New Roman"/>
          <w:b/>
          <w:i w:val="0"/>
          <w:color w:val="000000"/>
          <w:sz w:val="22"/>
        </w:rPr>
        <w:t xml:space="preserve">     Score_Hybrid = 0.5 × Norm(Score_Dense) + 0.5 × Norm(Score_BM25)</w:t>
      </w:r>
    </w:p>
    <w:p w14:paraId="64E5BF83">
      <w:r>
        <w:br w:type="page"/>
      </w:r>
    </w:p>
    <w:p w14:paraId="6D1FB4EE">
      <w:pPr>
        <w:keepNext/>
        <w:spacing w:before="220" w:after="80"/>
      </w:pPr>
      <w:r>
        <w:rPr>
          <w:rFonts w:ascii="Times New Roman" w:hAnsi="Times New Roman"/>
          <w:b/>
          <w:color w:val="000000"/>
          <w:sz w:val="27"/>
        </w:rPr>
        <w:t>CHAPTER 4: LOGICAL REASONING &amp; VERIFIED ACTION EXECUTION (LAYERS B &amp; C)</w:t>
      </w:r>
    </w:p>
    <w:p w14:paraId="374604D5">
      <w:pPr>
        <w:keepNext/>
        <w:spacing w:before="130" w:after="40"/>
      </w:pPr>
      <w:r>
        <w:rPr>
          <w:rFonts w:ascii="Times New Roman" w:hAnsi="Times New Roman"/>
          <w:b/>
          <w:color w:val="000000"/>
          <w:sz w:val="24"/>
        </w:rPr>
        <w:t>4.1. Layer B - Synthesis &amp; Multi-Step Calculation</w:t>
      </w:r>
    </w:p>
    <w:p w14:paraId="12B5EE0C">
      <w:pPr>
        <w:spacing w:before="0" w:after="60" w:line="288" w:lineRule="auto"/>
        <w:jc w:val="both"/>
      </w:pPr>
      <w:r>
        <w:rPr>
          <w:rFonts w:ascii="Times New Roman" w:hAnsi="Times New Roman"/>
          <w:b w:val="0"/>
          <w:i w:val="0"/>
          <w:color w:val="000000"/>
          <w:sz w:val="23"/>
        </w:rPr>
        <w:t>Beyond raw textual retrieval, the assistant performs multi-step operational calculations:</w:t>
      </w:r>
    </w:p>
    <w:p w14:paraId="0D02807A">
      <w:pPr>
        <w:pStyle w:val="23"/>
        <w:spacing w:before="0" w:after="40" w:line="283" w:lineRule="auto"/>
        <w:jc w:val="both"/>
      </w:pPr>
      <w:r>
        <w:rPr>
          <w:rFonts w:ascii="Times New Roman" w:hAnsi="Times New Roman"/>
          <w:b/>
          <w:color w:val="000000"/>
          <w:sz w:val="22"/>
        </w:rPr>
        <w:t>Standardized 55-Activity Database:</w:t>
      </w:r>
      <w:r>
        <w:rPr>
          <w:rFonts w:ascii="Times New Roman" w:hAnsi="Times New Roman"/>
          <w:color w:val="000000"/>
          <w:sz w:val="22"/>
        </w:rPr>
        <w:t xml:space="preserve"> Parses all official regulatory appendices into data/activities.json, mapping activity names to 6-digit codes (e.g., 'Voluntary Blood Donation' -&gt; 001202), points (5 pts), and converted days (0.5 days).</w:t>
      </w:r>
    </w:p>
    <w:p w14:paraId="53B8D8E8">
      <w:pPr>
        <w:pStyle w:val="23"/>
        <w:spacing w:before="0" w:after="40" w:line="283" w:lineRule="auto"/>
        <w:jc w:val="both"/>
      </w:pPr>
      <w:r>
        <w:rPr>
          <w:rFonts w:ascii="Times New Roman" w:hAnsi="Times New Roman"/>
          <w:b/>
          <w:color w:val="000000"/>
          <w:sz w:val="22"/>
        </w:rPr>
        <w:t>Point Conversion Algorithm:</w:t>
      </w:r>
      <w:r>
        <w:rPr>
          <w:rFonts w:ascii="Times New Roman" w:hAnsi="Times New Roman"/>
          <w:color w:val="000000"/>
          <w:sz w:val="22"/>
        </w:rPr>
        <w:t xml:space="preserve"> Social Work Days = round(Total Points / 10, 1). Applies institutional half-day rounding rules (&lt; 5 pts rounds down; 5 pts yields 0.5 day; &gt; 5 pts rounds up to 1.0 day).</w:t>
      </w:r>
    </w:p>
    <w:p w14:paraId="48FA2217">
      <w:pPr>
        <w:pStyle w:val="23"/>
        <w:spacing w:before="0" w:after="40" w:line="283" w:lineRule="auto"/>
        <w:jc w:val="both"/>
      </w:pPr>
      <w:r>
        <w:rPr>
          <w:rFonts w:ascii="Times New Roman" w:hAnsi="Times New Roman"/>
          <w:b/>
          <w:color w:val="000000"/>
          <w:sz w:val="22"/>
        </w:rPr>
        <w:t>Graduation Audit &amp; Gap Analysis:</w:t>
      </w:r>
      <w:r>
        <w:rPr>
          <w:rFonts w:ascii="Times New Roman" w:hAnsi="Times New Roman"/>
          <w:color w:val="000000"/>
          <w:sz w:val="22"/>
        </w:rPr>
        <w:t xml:space="preserve"> Tool check_graduation_eligibility(mssv) compares threshold requirements in students.json against certified participation in student_activities.json: Δ_days = max(0, D_req - D_acc).</w:t>
      </w:r>
    </w:p>
    <w:p w14:paraId="5F6511F0">
      <w:pPr>
        <w:pStyle w:val="23"/>
        <w:spacing w:before="0" w:after="40" w:line="283" w:lineRule="auto"/>
        <w:jc w:val="both"/>
      </w:pPr>
      <w:r>
        <w:rPr>
          <w:rFonts w:ascii="Times New Roman" w:hAnsi="Times New Roman"/>
          <w:b/>
          <w:color w:val="000000"/>
          <w:sz w:val="22"/>
        </w:rPr>
        <w:t>Missing Information Guardrail:</w:t>
      </w:r>
      <w:r>
        <w:rPr>
          <w:rFonts w:ascii="Times New Roman" w:hAnsi="Times New Roman"/>
          <w:color w:val="000000"/>
          <w:sz w:val="22"/>
        </w:rPr>
        <w:t xml:space="preserve"> When requests lack critical parameters (e.g., 'Register blood donation for me' without Student ID), the agent intercepts execution and prompts for missing credentials.</w:t>
      </w:r>
    </w:p>
    <w:p w14:paraId="5738EF73">
      <w:pPr>
        <w:keepNext/>
        <w:spacing w:before="130" w:after="40"/>
      </w:pPr>
      <w:r>
        <w:rPr>
          <w:rFonts w:ascii="Times New Roman" w:hAnsi="Times New Roman"/>
          <w:b/>
          <w:color w:val="000000"/>
          <w:sz w:val="24"/>
        </w:rPr>
        <w:t>4.2. Layer C - Two-Phase Side-Effect Execution Flow</w:t>
      </w:r>
    </w:p>
    <w:p w14:paraId="4EF98A37">
      <w:pPr>
        <w:spacing w:before="0" w:after="60" w:line="288" w:lineRule="auto"/>
        <w:jc w:val="both"/>
      </w:pPr>
      <w:r>
        <w:rPr>
          <w:rFonts w:ascii="Times New Roman" w:hAnsi="Times New Roman"/>
          <w:b w:val="0"/>
          <w:i w:val="0"/>
          <w:color w:val="000000"/>
          <w:sz w:val="23"/>
        </w:rPr>
        <w:t>To eliminate ungrounded confirmations and ensure database integrity, write operations enforce a mandatory 2-phase protocol:</w:t>
      </w:r>
    </w:p>
    <w:tbl>
      <w:tblPr>
        <w:tblStyle w:val="12"/>
        <w:tblW w:w="0" w:type="auto"/>
        <w:jc w:val="center"/>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721"/>
        <w:gridCol w:w="6633"/>
      </w:tblGrid>
      <w:tr w14:paraId="4354D301">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721" w:type="dxa"/>
            <w:shd w:val="clear" w:color="auto" w:fill="FFFFFF"/>
            <w:tcMar>
              <w:top w:w="65" w:type="dxa"/>
              <w:left w:w="80" w:type="dxa"/>
              <w:bottom w:w="65" w:type="dxa"/>
              <w:right w:w="80" w:type="dxa"/>
            </w:tcMar>
          </w:tcPr>
          <w:p w14:paraId="56CDEADF">
            <w:pPr>
              <w:spacing w:after="40"/>
            </w:pPr>
            <w:r>
              <w:rPr>
                <w:rFonts w:ascii="Times New Roman" w:hAnsi="Times New Roman"/>
                <w:b/>
                <w:color w:val="000000"/>
                <w:sz w:val="20"/>
              </w:rPr>
              <w:t>Step 1: Student Verification</w:t>
            </w:r>
          </w:p>
        </w:tc>
        <w:tc>
          <w:tcPr>
            <w:tcW w:w="6633" w:type="dxa"/>
            <w:shd w:val="clear" w:color="auto" w:fill="FFFFFF"/>
            <w:tcMar>
              <w:top w:w="65" w:type="dxa"/>
              <w:left w:w="80" w:type="dxa"/>
              <w:bottom w:w="65" w:type="dxa"/>
              <w:right w:w="80" w:type="dxa"/>
            </w:tcMar>
          </w:tcPr>
          <w:p w14:paraId="2CCA41CD">
            <w:pPr>
              <w:spacing w:after="40"/>
            </w:pPr>
            <w:r>
              <w:rPr>
                <w:rFonts w:ascii="Times New Roman" w:hAnsi="Times New Roman"/>
                <w:color w:val="000000"/>
                <w:sz w:val="20"/>
              </w:rPr>
              <w:t>Invokes read tool check_student_exists(mssv). If the student record is absent from the institutional database -&gt; Terminate and notify.</w:t>
            </w:r>
          </w:p>
        </w:tc>
      </w:tr>
      <w:tr w14:paraId="792031BA">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721" w:type="dxa"/>
            <w:shd w:val="clear" w:color="auto" w:fill="F8FAFC"/>
            <w:tcMar>
              <w:top w:w="65" w:type="dxa"/>
              <w:left w:w="80" w:type="dxa"/>
              <w:bottom w:w="65" w:type="dxa"/>
              <w:right w:w="80" w:type="dxa"/>
            </w:tcMar>
          </w:tcPr>
          <w:p w14:paraId="4EDBF211">
            <w:pPr>
              <w:spacing w:after="40"/>
            </w:pPr>
            <w:r>
              <w:rPr>
                <w:rFonts w:ascii="Times New Roman" w:hAnsi="Times New Roman"/>
                <w:b/>
                <w:color w:val="000000"/>
                <w:sz w:val="20"/>
              </w:rPr>
              <w:t>Step 2: Activity Resolution</w:t>
            </w:r>
          </w:p>
        </w:tc>
        <w:tc>
          <w:tcPr>
            <w:tcW w:w="6633" w:type="dxa"/>
            <w:shd w:val="clear" w:color="auto" w:fill="F8FAFC"/>
            <w:tcMar>
              <w:top w:w="65" w:type="dxa"/>
              <w:left w:w="80" w:type="dxa"/>
              <w:bottom w:w="65" w:type="dxa"/>
              <w:right w:w="80" w:type="dxa"/>
            </w:tcMar>
          </w:tcPr>
          <w:p w14:paraId="57197B22">
            <w:pPr>
              <w:spacing w:after="40"/>
            </w:pPr>
            <w:r>
              <w:rPr>
                <w:rFonts w:ascii="Times New Roman" w:hAnsi="Times New Roman"/>
                <w:color w:val="000000"/>
                <w:sz w:val="20"/>
              </w:rPr>
              <w:t>Resolves user description against 55 standardized codes. If ambiguous (e.g., multiple Green Summer campaigns) -&gt; Present options for user confirmation.</w:t>
            </w:r>
          </w:p>
        </w:tc>
      </w:tr>
      <w:tr w14:paraId="2B8119C3">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721" w:type="dxa"/>
            <w:shd w:val="clear" w:color="auto" w:fill="FFFFFF"/>
            <w:tcMar>
              <w:top w:w="65" w:type="dxa"/>
              <w:left w:w="80" w:type="dxa"/>
              <w:bottom w:w="65" w:type="dxa"/>
              <w:right w:w="80" w:type="dxa"/>
            </w:tcMar>
          </w:tcPr>
          <w:p w14:paraId="40D540CC">
            <w:pPr>
              <w:spacing w:after="40"/>
            </w:pPr>
            <w:r>
              <w:rPr>
                <w:rFonts w:ascii="Times New Roman" w:hAnsi="Times New Roman"/>
                <w:b/>
                <w:color w:val="000000"/>
                <w:sz w:val="20"/>
              </w:rPr>
              <w:t>Step 3: WRITE TOOL Execution</w:t>
            </w:r>
          </w:p>
        </w:tc>
        <w:tc>
          <w:tcPr>
            <w:tcW w:w="6633" w:type="dxa"/>
            <w:shd w:val="clear" w:color="auto" w:fill="FFFFFF"/>
            <w:tcMar>
              <w:top w:w="65" w:type="dxa"/>
              <w:left w:w="80" w:type="dxa"/>
              <w:bottom w:w="65" w:type="dxa"/>
              <w:right w:w="80" w:type="dxa"/>
            </w:tcMar>
          </w:tcPr>
          <w:p w14:paraId="19D88C90">
            <w:pPr>
              <w:spacing w:after="40"/>
            </w:pPr>
            <w:r>
              <w:rPr>
                <w:rFonts w:ascii="Times New Roman" w:hAnsi="Times New Roman"/>
                <w:color w:val="000000"/>
                <w:sz w:val="20"/>
              </w:rPr>
              <w:t>Calls register_ctxh_activity(mssv, activity_code, ...). Persists the record to JSON storage and issues transaction ID REG-CTXH-YYYYMMDD-XXXX.</w:t>
            </w:r>
          </w:p>
        </w:tc>
      </w:tr>
      <w:tr w14:paraId="2A12BE0F">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721" w:type="dxa"/>
            <w:shd w:val="clear" w:color="auto" w:fill="F8FAFC"/>
            <w:tcMar>
              <w:top w:w="65" w:type="dxa"/>
              <w:left w:w="80" w:type="dxa"/>
              <w:bottom w:w="65" w:type="dxa"/>
              <w:right w:w="80" w:type="dxa"/>
            </w:tcMar>
          </w:tcPr>
          <w:p w14:paraId="3C6820BF">
            <w:pPr>
              <w:spacing w:after="40"/>
            </w:pPr>
            <w:r>
              <w:rPr>
                <w:rFonts w:ascii="Times New Roman" w:hAnsi="Times New Roman"/>
                <w:b/>
                <w:color w:val="000000"/>
                <w:sz w:val="20"/>
              </w:rPr>
              <w:t>Step 4: VERIFY READ TOOL</w:t>
            </w:r>
          </w:p>
        </w:tc>
        <w:tc>
          <w:tcPr>
            <w:tcW w:w="6633" w:type="dxa"/>
            <w:shd w:val="clear" w:color="auto" w:fill="F8FAFC"/>
            <w:tcMar>
              <w:top w:w="65" w:type="dxa"/>
              <w:left w:w="80" w:type="dxa"/>
              <w:bottom w:w="65" w:type="dxa"/>
              <w:right w:w="80" w:type="dxa"/>
            </w:tcMar>
          </w:tcPr>
          <w:p w14:paraId="0C2D7A1C">
            <w:pPr>
              <w:spacing w:after="40"/>
            </w:pPr>
            <w:r>
              <w:rPr>
                <w:rFonts w:ascii="Times New Roman" w:hAnsi="Times New Roman"/>
                <w:color w:val="000000"/>
                <w:sz w:val="20"/>
              </w:rPr>
              <w:t>MANDATORY immediate invocation of get_ctxh_status(mssv) to re-read persisted disk state, verifying that the record is CONFIRMED.</w:t>
            </w:r>
          </w:p>
        </w:tc>
      </w:tr>
      <w:tr w14:paraId="6ED427AB">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721" w:type="dxa"/>
            <w:shd w:val="clear" w:color="auto" w:fill="FFFFFF"/>
            <w:tcMar>
              <w:top w:w="65" w:type="dxa"/>
              <w:left w:w="80" w:type="dxa"/>
              <w:bottom w:w="65" w:type="dxa"/>
              <w:right w:w="80" w:type="dxa"/>
            </w:tcMar>
          </w:tcPr>
          <w:p w14:paraId="5BF2B0E1">
            <w:pPr>
              <w:spacing w:after="40"/>
            </w:pPr>
            <w:r>
              <w:rPr>
                <w:rFonts w:ascii="Times New Roman" w:hAnsi="Times New Roman"/>
                <w:b/>
                <w:color w:val="000000"/>
                <w:sz w:val="20"/>
              </w:rPr>
              <w:t>Step 5: Confirmed Response</w:t>
            </w:r>
          </w:p>
        </w:tc>
        <w:tc>
          <w:tcPr>
            <w:tcW w:w="6633" w:type="dxa"/>
            <w:shd w:val="clear" w:color="auto" w:fill="FFFFFF"/>
            <w:tcMar>
              <w:top w:w="65" w:type="dxa"/>
              <w:left w:w="80" w:type="dxa"/>
              <w:bottom w:w="65" w:type="dxa"/>
              <w:right w:w="80" w:type="dxa"/>
            </w:tcMar>
          </w:tcPr>
          <w:p w14:paraId="643583AF">
            <w:pPr>
              <w:spacing w:after="40"/>
            </w:pPr>
            <w:r>
              <w:rPr>
                <w:rFonts w:ascii="Times New Roman" w:hAnsi="Times New Roman"/>
                <w:color w:val="000000"/>
                <w:sz w:val="20"/>
              </w:rPr>
              <w:t>Issues a certified response to the student including Registration ID, Activity Name, Updated Accumulation, Progress, and Citation Sources.</w:t>
            </w:r>
          </w:p>
        </w:tc>
      </w:tr>
    </w:tbl>
    <w:p w14:paraId="656886B7">
      <w:pPr>
        <w:spacing w:before="40" w:after="80"/>
        <w:jc w:val="center"/>
      </w:pPr>
      <w:r>
        <w:rPr>
          <w:rFonts w:ascii="Times New Roman" w:hAnsi="Times New Roman"/>
          <w:i/>
          <w:color w:val="000000"/>
          <w:sz w:val="19"/>
        </w:rPr>
        <w:t>Table 4.1: Two-Phase Transactional Execution Protocol (Side-Effect Write + Verified Read).</w:t>
      </w:r>
    </w:p>
    <w:p w14:paraId="1ECCEF4A">
      <w:r>
        <w:br w:type="page"/>
      </w:r>
    </w:p>
    <w:p w14:paraId="49C93222">
      <w:pPr>
        <w:keepNext/>
        <w:spacing w:before="220" w:after="80"/>
      </w:pPr>
      <w:r>
        <w:rPr>
          <w:rFonts w:ascii="Times New Roman" w:hAnsi="Times New Roman"/>
          <w:b/>
          <w:color w:val="000000"/>
          <w:sz w:val="27"/>
        </w:rPr>
        <w:t>CHAPTER 5: EXPERIMENTAL DESIGN &amp; EVALUATION METRICS (WEEK 5)</w:t>
      </w:r>
    </w:p>
    <w:p w14:paraId="704EA18B">
      <w:pPr>
        <w:keepNext/>
        <w:spacing w:before="130" w:after="40"/>
      </w:pPr>
      <w:r>
        <w:rPr>
          <w:rFonts w:ascii="Times New Roman" w:hAnsi="Times New Roman"/>
          <w:b/>
          <w:color w:val="000000"/>
          <w:sz w:val="24"/>
        </w:rPr>
        <w:t>5.1. Standardized Benchmark Testset Design</w:t>
      </w:r>
    </w:p>
    <w:p w14:paraId="5F9E15B8">
      <w:pPr>
        <w:spacing w:before="0" w:after="60" w:line="288" w:lineRule="auto"/>
        <w:jc w:val="both"/>
      </w:pPr>
      <w:r>
        <w:rPr>
          <w:rFonts w:ascii="Times New Roman" w:hAnsi="Times New Roman"/>
          <w:b w:val="0"/>
          <w:i w:val="0"/>
          <w:sz w:val="22"/>
        </w:rPr>
        <w:t>To evaluate system capabilities comprehensively, the team curated a 15-testcase benchmark (tests/testset.jsonl) across 8 real-world operational categories:</w:t>
      </w:r>
    </w:p>
    <w:p w14:paraId="0BCCCF50">
      <w:pPr>
        <w:pStyle w:val="23"/>
        <w:spacing w:before="0" w:after="40" w:line="283" w:lineRule="auto"/>
        <w:jc w:val="both"/>
      </w:pPr>
      <w:r>
        <w:rPr>
          <w:rFonts w:ascii="Times New Roman" w:hAnsi="Times New Roman"/>
          <w:b w:val="0"/>
          <w:i w:val="0"/>
          <w:sz w:val="22"/>
        </w:rPr>
        <w:t>Group 1: Logic Rules (3 cases - q1 to q3): Retrieval of 6-digit activity codes (001201/001202 - Blood Donation), graduation thresholds (4 days for standard programs), and disciplinary deductions for unexcused absence (minus 0.5 days).</w:t>
      </w:r>
    </w:p>
    <w:p w14:paraId="73A7FB2D">
      <w:pPr>
        <w:pStyle w:val="23"/>
        <w:spacing w:before="0" w:after="40" w:line="283" w:lineRule="auto"/>
        <w:jc w:val="both"/>
      </w:pPr>
      <w:r>
        <w:rPr>
          <w:rFonts w:ascii="Times New Roman" w:hAnsi="Times New Roman"/>
          <w:b/>
          <w:color w:val="000000"/>
          <w:sz w:val="22"/>
        </w:rPr>
        <w:t>Group 2: Version Comparison (1 case):</w:t>
      </w:r>
      <w:r>
        <w:rPr>
          <w:rFonts w:ascii="Times New Roman" w:hAnsi="Times New Roman"/>
          <w:color w:val="000000"/>
          <w:sz w:val="22"/>
        </w:rPr>
        <w:t xml:space="preserve"> Evaluating policy divergence between Cohort 2012 (3 days) and Cohorts 2013+ (4 days).</w:t>
      </w:r>
    </w:p>
    <w:p w14:paraId="0753F73B">
      <w:pPr>
        <w:pStyle w:val="23"/>
        <w:spacing w:before="0" w:after="40" w:line="283" w:lineRule="auto"/>
        <w:jc w:val="both"/>
      </w:pPr>
      <w:r>
        <w:rPr>
          <w:rFonts w:ascii="Times New Roman" w:hAnsi="Times New Roman"/>
          <w:b/>
          <w:color w:val="000000"/>
          <w:sz w:val="22"/>
        </w:rPr>
        <w:t>Group 3: Calculation &amp; Synthesis (2 cases):</w:t>
      </w:r>
      <w:r>
        <w:rPr>
          <w:rFonts w:ascii="Times New Roman" w:hAnsi="Times New Roman"/>
          <w:color w:val="000000"/>
          <w:sz w:val="22"/>
        </w:rPr>
        <w:t xml:space="preserve"> Multi-activity aggregation (Green Summer 40 pts + Blood Donation 5 pts = 4.5 days) and point-to-day conversion (35 pts = 3.5 days).</w:t>
      </w:r>
    </w:p>
    <w:p w14:paraId="5A31FDE7">
      <w:pPr>
        <w:pStyle w:val="23"/>
        <w:spacing w:before="0" w:after="40" w:line="283" w:lineRule="auto"/>
        <w:jc w:val="both"/>
      </w:pPr>
      <w:r>
        <w:rPr>
          <w:rFonts w:ascii="Times New Roman" w:hAnsi="Times New Roman"/>
          <w:b w:val="0"/>
          <w:i w:val="0"/>
          <w:sz w:val="22"/>
        </w:rPr>
        <w:t>Group 4: Action Write + Verify (1 case - q7): Direct database activity registration for student 23110234 followed by verified state confirmation via get_ctxh_status.</w:t>
      </w:r>
    </w:p>
    <w:p w14:paraId="0A906624">
      <w:pPr>
        <w:pStyle w:val="23"/>
        <w:spacing w:before="0" w:after="40" w:line="283" w:lineRule="auto"/>
        <w:jc w:val="both"/>
      </w:pPr>
      <w:r>
        <w:rPr>
          <w:rFonts w:ascii="Times New Roman" w:hAnsi="Times New Roman"/>
          <w:b/>
          <w:color w:val="000000"/>
          <w:sz w:val="22"/>
        </w:rPr>
        <w:t>Group 5: Missing Information (1 case):</w:t>
      </w:r>
      <w:r>
        <w:rPr>
          <w:rFonts w:ascii="Times New Roman" w:hAnsi="Times New Roman"/>
          <w:color w:val="000000"/>
          <w:sz w:val="22"/>
        </w:rPr>
        <w:t xml:space="preserve"> Robust handling of registration requests lacking Student ID.</w:t>
      </w:r>
    </w:p>
    <w:p>
      <w:r>
        <w:rPr>
          <w:rFonts w:ascii="Times New Roman" w:hAnsi="Times New Roman"/>
          <w:b w:val="0"/>
          <w:i w:val="0"/>
          <w:sz w:val="22"/>
        </w:rPr>
        <w:t>Group 7: Ambiguous Request Disambiguation (1 case - q13): Halting registration to disambiguate volunteer squad leader (code 001202) from standard blood donation.</w:t>
      </w:r>
    </w:p>
    <w:p>
      <w:r>
        <w:rPr>
          <w:rFonts w:ascii="Times New Roman" w:hAnsi="Times New Roman"/>
          <w:b w:val="0"/>
          <w:i w:val="0"/>
          <w:sz w:val="22"/>
        </w:rPr>
        <w:t>Group 8: Input Validation &amp; Boundary Checks (2 cases - q14 &amp; q15): Guardrails intercepting non-existent Student IDs (99999999) and rejecting out-of-range evaluation points (50 pts vs max 12 pts).</w:t>
      </w:r>
    </w:p>
    <w:p w14:paraId="0654724D">
      <w:pPr>
        <w:pStyle w:val="23"/>
        <w:spacing w:before="0" w:after="40" w:line="283" w:lineRule="auto"/>
        <w:jc w:val="both"/>
      </w:pPr>
      <w:r>
        <w:rPr>
          <w:rFonts w:ascii="Times New Roman" w:hAnsi="Times New Roman"/>
          <w:b w:val="0"/>
          <w:i w:val="0"/>
          <w:sz w:val="22"/>
        </w:rPr>
        <w:t>Group 6: Out-of-Domain Calibration (4 cases - q9 to q12): Testing calibrated refusal on out-of-scope topics (Scholarship conduct points, German student visas, Database exam schedules, and missing student ID graduation queries).</w:t>
      </w:r>
    </w:p>
    <w:p w14:paraId="0C55BEC6">
      <w:pPr>
        <w:keepNext/>
        <w:spacing w:before="130" w:after="40"/>
      </w:pPr>
      <w:r>
        <w:rPr>
          <w:rFonts w:ascii="Times New Roman" w:hAnsi="Times New Roman"/>
          <w:b/>
          <w:color w:val="000000"/>
          <w:sz w:val="24"/>
        </w:rPr>
        <w:t>5.2. LLM-as-a-Judge Evaluation Methodology</w:t>
      </w:r>
    </w:p>
    <w:p w14:paraId="5F28A7EB">
      <w:pPr>
        <w:spacing w:before="0" w:after="60" w:line="288" w:lineRule="auto"/>
        <w:jc w:val="both"/>
      </w:pPr>
      <w:r>
        <w:rPr>
          <w:rFonts w:ascii="Times New Roman" w:hAnsi="Times New Roman"/>
          <w:b w:val="0"/>
          <w:i w:val="0"/>
          <w:color w:val="000000"/>
          <w:sz w:val="23"/>
        </w:rPr>
        <w:t>The evaluation pipeline (src/evaluation/faithfulness.py) adopts an automated LLM-as-a-judge framework aligned with Week 5 academic standards:</w:t>
      </w:r>
    </w:p>
    <w:p w14:paraId="245ECDDA">
      <w:pPr>
        <w:pStyle w:val="23"/>
        <w:spacing w:before="0" w:after="40" w:line="283" w:lineRule="auto"/>
        <w:jc w:val="both"/>
      </w:pPr>
      <w:r>
        <w:rPr>
          <w:rFonts w:ascii="Times New Roman" w:hAnsi="Times New Roman"/>
          <w:b/>
          <w:color w:val="000000"/>
          <w:sz w:val="22"/>
        </w:rPr>
        <w:t>Faithfulness / Groundedness:</w:t>
      </w:r>
      <w:r>
        <w:rPr>
          <w:rFonts w:ascii="Times New Roman" w:hAnsi="Times New Roman"/>
          <w:color w:val="000000"/>
          <w:sz w:val="22"/>
        </w:rPr>
        <w:t xml:space="preserve"> The system answer (A) is decomposed into N atomic claims (c_1, c_2, ..., c_N). The judge model evaluates whether each claim is fully supported by the retrieved context (C): Faithfulness = (Supported Claims) / N.</w:t>
      </w:r>
    </w:p>
    <w:p w14:paraId="1DFB7370">
      <w:pPr>
        <w:pStyle w:val="23"/>
        <w:spacing w:before="0" w:after="40" w:line="283" w:lineRule="auto"/>
        <w:jc w:val="both"/>
      </w:pPr>
      <w:r>
        <w:rPr>
          <w:rFonts w:ascii="Times New Roman" w:hAnsi="Times New Roman"/>
          <w:b/>
          <w:color w:val="000000"/>
          <w:sz w:val="22"/>
        </w:rPr>
        <w:t>Calibration / Refusal Rate:</w:t>
      </w:r>
      <w:r>
        <w:rPr>
          <w:rFonts w:ascii="Times New Roman" w:hAnsi="Times New Roman"/>
          <w:color w:val="000000"/>
          <w:sz w:val="22"/>
        </w:rPr>
        <w:t xml:space="preserve"> Quantifies the model's ability to decline out-of-domain queries: Refusal Rate = (Correctly Refused Queries / 4 Out-of-Domain Cases) × 100%.</w:t>
      </w:r>
    </w:p>
    <w:p w14:paraId="01C1AB8B">
      <w:pPr>
        <w:pStyle w:val="23"/>
        <w:spacing w:before="0" w:after="40" w:line="283" w:lineRule="auto"/>
        <w:jc w:val="both"/>
      </w:pPr>
      <w:r>
        <w:rPr>
          <w:rFonts w:ascii="Times New Roman" w:hAnsi="Times New Roman"/>
          <w:b/>
          <w:color w:val="000000"/>
          <w:sz w:val="22"/>
        </w:rPr>
        <w:t>Keyword Recall:</w:t>
      </w:r>
      <w:r>
        <w:rPr>
          <w:rFonts w:ascii="Times New Roman" w:hAnsi="Times New Roman"/>
          <w:color w:val="000000"/>
          <w:sz w:val="22"/>
        </w:rPr>
        <w:t xml:space="preserve"> Measures the presence ratio of mandatory domain entities, codes, and numerical values against expected_keywords.</w:t>
      </w:r>
    </w:p>
    <w:p w14:paraId="47A56FA8">
      <w:pPr>
        <w:pStyle w:val="23"/>
        <w:spacing w:before="0" w:after="40" w:line="283" w:lineRule="auto"/>
        <w:jc w:val="both"/>
      </w:pPr>
      <w:r>
        <w:rPr>
          <w:rFonts w:ascii="Times New Roman" w:hAnsi="Times New Roman"/>
          <w:b/>
          <w:color w:val="000000"/>
          <w:sz w:val="22"/>
        </w:rPr>
        <w:t>Answer Relevance &amp; Context Precision:</w:t>
      </w:r>
      <w:r>
        <w:rPr>
          <w:rFonts w:ascii="Times New Roman" w:hAnsi="Times New Roman"/>
          <w:color w:val="000000"/>
          <w:sz w:val="22"/>
        </w:rPr>
        <w:t xml:space="preserve"> Assesses semantic alignment with the user's intent and ranking accuracy of relevant retrieved chunks.</w:t>
      </w:r>
    </w:p>
    <w:p w14:paraId="716464DE">
      <w:r>
        <w:br w:type="page"/>
      </w:r>
    </w:p>
    <w:p w14:paraId="6B69CF52">
      <w:pPr>
        <w:keepNext/>
        <w:spacing w:before="220" w:after="80"/>
      </w:pPr>
      <w:r>
        <w:rPr>
          <w:rFonts w:ascii="Times New Roman" w:hAnsi="Times New Roman"/>
          <w:b/>
          <w:color w:val="000000"/>
          <w:sz w:val="27"/>
        </w:rPr>
        <w:t>CHAPTER 6: EXPERIMENTAL RESULTS &amp; QUANTITATIVE ANALYSIS</w:t>
      </w:r>
    </w:p>
    <w:p w14:paraId="06ABA672">
      <w:pPr>
        <w:keepNext/>
        <w:spacing w:before="130" w:after="40"/>
      </w:pPr>
      <w:r>
        <w:rPr>
          <w:rFonts w:ascii="Times New Roman" w:hAnsi="Times New Roman"/>
          <w:b/>
          <w:color w:val="000000"/>
          <w:sz w:val="24"/>
        </w:rPr>
        <w:t>6.1. Empirical Benchmark Results Summary</w:t>
      </w:r>
    </w:p>
    <w:p w14:paraId="548DDEEF">
      <w:pPr>
        <w:spacing w:before="0" w:after="60" w:line="288" w:lineRule="auto"/>
        <w:jc w:val="both"/>
      </w:pPr>
      <w:r>
        <w:rPr>
          <w:rFonts w:ascii="Times New Roman" w:hAnsi="Times New Roman"/>
          <w:b w:val="0"/>
          <w:i w:val="0"/>
          <w:color w:val="000000"/>
          <w:sz w:val="23"/>
        </w:rPr>
        <w:t>The quantitative results below were generated automatically from logs/eval/eval_report.json and logs/eval/eval_report.csv upon executing the automated evaluation pipeline:</w:t>
      </w:r>
    </w:p>
    <w:tbl>
      <w:tblPr>
        <w:tblStyle w:val="12"/>
        <w:tblW w:w="0" w:type="auto"/>
        <w:jc w:val="center"/>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118"/>
        <w:gridCol w:w="3118"/>
        <w:gridCol w:w="3118"/>
      </w:tblGrid>
      <w:tr w14:paraId="54454B40">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E2E8F0"/>
            <w:tcMar>
              <w:top w:w="60" w:type="dxa"/>
              <w:left w:w="70" w:type="dxa"/>
              <w:bottom w:w="60" w:type="dxa"/>
              <w:right w:w="70" w:type="dxa"/>
            </w:tcMar>
            <w:shd w:fill="003366"/>
            <w:tcMar>
              <w:top w:w="80" w:type="dxa"/>
              <w:bottom w:w="80" w:type="dxa"/>
              <w:left w:w="120" w:type="dxa"/>
              <w:right w:w="120" w:type="dxa"/>
            </w:tcMar>
          </w:tcPr>
          <w:p>
            <w:pPr>
              <w:spacing w:line="240" w:lineRule="auto" w:before="40" w:after="40"/>
            </w:pPr>
            <w:r>
              <w:rPr>
                <w:rFonts w:ascii="Times New Roman" w:hAnsi="Times New Roman"/>
                <w:b/>
                <w:i w:val="0"/>
                <w:color w:val="FFFFFF"/>
                <w:sz w:val="20"/>
              </w:rPr>
              <w:t>Evaluation Metric</w:t>
            </w:r>
          </w:p>
        </w:tc>
        <w:tc>
          <w:tcPr>
            <w:tcW w:w="3118" w:type="dxa"/>
            <w:shd w:val="clear" w:color="auto" w:fill="E2E8F0"/>
            <w:tcMar>
              <w:top w:w="60" w:type="dxa"/>
              <w:left w:w="70" w:type="dxa"/>
              <w:bottom w:w="60" w:type="dxa"/>
              <w:right w:w="70" w:type="dxa"/>
            </w:tcMar>
            <w:shd w:fill="003366"/>
            <w:tcMar>
              <w:top w:w="80" w:type="dxa"/>
              <w:bottom w:w="80" w:type="dxa"/>
              <w:left w:w="120" w:type="dxa"/>
              <w:right w:w="120" w:type="dxa"/>
            </w:tcMar>
          </w:tcPr>
          <w:p>
            <w:pPr>
              <w:spacing w:line="240" w:lineRule="auto" w:before="40" w:after="40"/>
            </w:pPr>
            <w:r>
              <w:rPr>
                <w:rFonts w:ascii="Times New Roman" w:hAnsi="Times New Roman"/>
                <w:b/>
                <w:i w:val="0"/>
                <w:color w:val="FFFFFF"/>
                <w:sz w:val="20"/>
              </w:rPr>
              <w:t>Measured Value</w:t>
            </w:r>
          </w:p>
        </w:tc>
        <w:tc>
          <w:tcPr>
            <w:tcW w:w="3118" w:type="dxa"/>
            <w:shd w:val="clear" w:color="auto" w:fill="E2E8F0"/>
            <w:tcMar>
              <w:top w:w="60" w:type="dxa"/>
              <w:left w:w="70" w:type="dxa"/>
              <w:bottom w:w="60" w:type="dxa"/>
              <w:right w:w="70" w:type="dxa"/>
            </w:tcMar>
            <w:shd w:fill="003366"/>
            <w:tcMar>
              <w:top w:w="80" w:type="dxa"/>
              <w:bottom w:w="80" w:type="dxa"/>
              <w:left w:w="120" w:type="dxa"/>
              <w:right w:w="120" w:type="dxa"/>
            </w:tcMar>
          </w:tcPr>
          <w:p>
            <w:pPr>
              <w:spacing w:line="240" w:lineRule="auto" w:before="40" w:after="40"/>
            </w:pPr>
            <w:r>
              <w:rPr>
                <w:rFonts w:ascii="Times New Roman" w:hAnsi="Times New Roman"/>
                <w:b/>
                <w:i w:val="0"/>
                <w:color w:val="FFFFFF"/>
                <w:sz w:val="20"/>
              </w:rPr>
              <w:t>Technical Analysis &amp; Remarks</w:t>
            </w:r>
          </w:p>
        </w:tc>
      </w:tr>
      <w:tr w14:paraId="127447BE">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Total Benchmark Test Cases</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15 / 15 cases</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Covers all 8 functional categories (Lookup, Versioning, Calculation, Action, Refusal, Disambiguation, Validation)</w:t>
            </w:r>
          </w:p>
        </w:tc>
      </w:tr>
      <w:tr w14:paraId="68D12877">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Calibration Rate (Out-of-Domain)</w:t>
            </w:r>
          </w:p>
        </w:tc>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100.0% (4/4 cases)</w:t>
            </w:r>
          </w:p>
        </w:tc>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Perfect refusal on all out-of-scope inquiries with zero false positive hallucinations</w:t>
            </w:r>
          </w:p>
        </w:tc>
      </w:tr>
      <w:tr w14:paraId="34DD86E6">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Average Faithfulness (Groundedness)</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0.91 / 1.0 (91.0%)</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High factual adherence; minor penalties from intermediate calculation reasoning self-correction</w:t>
            </w:r>
          </w:p>
        </w:tc>
      </w:tr>
      <w:tr w14:paraId="4A8C027C">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Average Answer Relevance</w:t>
            </w:r>
          </w:p>
        </w:tc>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0.84 / 1.0 (84.0%)</w:t>
            </w:r>
          </w:p>
        </w:tc>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Strong semantic alignment to user queries across both standard and out-of-domain prompts</w:t>
            </w:r>
          </w:p>
        </w:tc>
      </w:tr>
      <w:tr w14:paraId="65C1651A">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Average Context Precision</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0.90 / 1.0 (90.0%)</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Optimal rank quality in Hybrid retrieval; relevant regulatory chunks consistently placed in top-1</w:t>
            </w:r>
          </w:p>
        </w:tc>
      </w:tr>
      <w:tr w14:paraId="136BDF3C">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Average Tokens per Query</w:t>
            </w:r>
          </w:p>
        </w:tc>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7,242.4 tokens</w:t>
            </w:r>
          </w:p>
        </w:tc>
        <w:tc>
          <w:tcPr>
            <w:tcW w:w="3118" w:type="dxa"/>
            <w:shd w:val="clear" w:color="auto" w:fill="FFFFFF"/>
            <w:tcMar>
              <w:top w:w="45" w:type="dxa"/>
              <w:left w:w="60" w:type="dxa"/>
              <w:bottom w:w="45" w:type="dxa"/>
              <w:right w:w="60" w:type="dxa"/>
            </w:tcMar>
            <w:shd w:fill="FFFFFF"/>
            <w:tcMar>
              <w:top w:w="80" w:type="dxa"/>
              <w:bottom w:w="80" w:type="dxa"/>
              <w:left w:w="120" w:type="dxa"/>
              <w:right w:w="120" w:type="dxa"/>
            </w:tcMar>
          </w:tcPr>
          <w:p>
            <w:pPr>
              <w:spacing w:line="240" w:lineRule="auto" w:before="40" w:after="40"/>
            </w:pPr>
            <w:r>
              <w:rPr>
                <w:rFonts w:ascii="Times New Roman" w:hAnsi="Times New Roman"/>
                <w:b w:val="0"/>
                <w:i w:val="0"/>
                <w:sz w:val="20"/>
              </w:rPr>
              <w:t>Optimal computation cost, well bounded within ReAct loop iteration limits (MAX_STEPS = 6)</w:t>
            </w:r>
          </w:p>
        </w:tc>
      </w:tr>
      <w:tr w14:paraId="0C8E228F">
        <w:tblPrEx>
          <w:tblBorders>
            <w:top w:val="single" w:color="000000" w:sz="6" w:space="0"/>
            <w:left w:val="none" w:color="auto" w:sz="0" w:space="0"/>
            <w:bottom w:val="single" w:color="000000"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Total Prompt / Completion Tokens</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103,804 / 4,832</w:t>
            </w:r>
          </w:p>
        </w:tc>
        <w:tc>
          <w:tcPr>
            <w:tcW w:w="3118" w:type="dxa"/>
            <w:shd w:val="clear" w:color="auto" w:fill="F8FAFC"/>
            <w:tcMar>
              <w:top w:w="45" w:type="dxa"/>
              <w:left w:w="60" w:type="dxa"/>
              <w:bottom w:w="45" w:type="dxa"/>
              <w:right w:w="60" w:type="dxa"/>
            </w:tcMar>
            <w:shd w:fill="F4F6F9"/>
            <w:tcMar>
              <w:top w:w="80" w:type="dxa"/>
              <w:bottom w:w="80" w:type="dxa"/>
              <w:left w:w="120" w:type="dxa"/>
              <w:right w:w="120" w:type="dxa"/>
            </w:tcMar>
          </w:tcPr>
          <w:p>
            <w:pPr>
              <w:spacing w:line="240" w:lineRule="auto" w:before="40" w:after="40"/>
            </w:pPr>
            <w:r>
              <w:rPr>
                <w:rFonts w:ascii="Times New Roman" w:hAnsi="Times New Roman"/>
                <w:b w:val="0"/>
                <w:i w:val="0"/>
                <w:sz w:val="20"/>
              </w:rPr>
              <w:t>Agent maintains rich multi-turn context (deep system prompt + retrieved chunks) and concise answers</w:t>
            </w:r>
          </w:p>
        </w:tc>
      </w:tr>
      <w:tr>
        <w:tc>
          <w:tcPr>
            <w:tcW w:type="dxa" w:w="3118"/>
            <w:shd w:fill="E8F4F8"/>
            <w:tcMar>
              <w:top w:w="80" w:type="dxa"/>
              <w:bottom w:w="80" w:type="dxa"/>
              <w:left w:w="120" w:type="dxa"/>
              <w:right w:w="120" w:type="dxa"/>
            </w:tcMar>
          </w:tcPr>
          <w:p>
            <w:pPr>
              <w:spacing w:line="240" w:lineRule="auto" w:before="40" w:after="40"/>
            </w:pPr>
            <w:r>
              <w:rPr>
                <w:rFonts w:ascii="Times New Roman" w:hAnsi="Times New Roman"/>
                <w:b/>
                <w:i w:val="0"/>
                <w:sz w:val="20"/>
              </w:rPr>
              <w:t>Overall System Diagnosis</w:t>
            </w:r>
          </w:p>
        </w:tc>
        <w:tc>
          <w:tcPr>
            <w:tcW w:type="dxa" w:w="3118"/>
            <w:shd w:fill="E8F4F8"/>
            <w:tcMar>
              <w:top w:w="80" w:type="dxa"/>
              <w:bottom w:w="80" w:type="dxa"/>
              <w:left w:w="120" w:type="dxa"/>
              <w:right w:w="120" w:type="dxa"/>
            </w:tcMar>
          </w:tcPr>
          <w:p>
            <w:pPr>
              <w:spacing w:line="240" w:lineRule="auto" w:before="40" w:after="40"/>
            </w:pPr>
            <w:r>
              <w:rPr>
                <w:rFonts w:ascii="Times New Roman" w:hAnsi="Times New Roman"/>
                <w:b/>
                <w:i w:val="0"/>
                <w:sz w:val="20"/>
              </w:rPr>
              <w:t>OPTIMAL (TỐI ƯU)</w:t>
            </w:r>
          </w:p>
        </w:tc>
        <w:tc>
          <w:tcPr>
            <w:tcW w:type="dxa" w:w="3118"/>
            <w:shd w:fill="E8F4F8"/>
            <w:tcMar>
              <w:top w:w="80" w:type="dxa"/>
              <w:bottom w:w="80" w:type="dxa"/>
              <w:left w:w="120" w:type="dxa"/>
              <w:right w:w="120" w:type="dxa"/>
            </w:tcMar>
          </w:tcPr>
          <w:p>
            <w:pPr>
              <w:spacing w:line="240" w:lineRule="auto" w:before="40" w:after="40"/>
            </w:pPr>
            <w:r>
              <w:rPr>
                <w:rFonts w:ascii="Times New Roman" w:hAnsi="Times New Roman"/>
                <w:b/>
                <w:i w:val="0"/>
                <w:sz w:val="20"/>
              </w:rPr>
              <w:t>System exhibits balanced performance across all Week 5 quality metrics without metric collapse</w:t>
            </w:r>
          </w:p>
        </w:tc>
      </w:tr>
    </w:tbl>
    <w:p>
      <w:r>
        <w:rPr>
          <w:rFonts w:ascii="Times New Roman" w:hAnsi="Times New Roman"/>
          <w:b w:val="0"/>
          <w:i w:val="0"/>
          <w:sz w:val="22"/>
        </w:rPr>
        <w:t>6.1.1. Empirical Configuration Comparison: Dense-Only vs. Hybrid Search (+1 Bonus Point)</w:t>
        <w:br/>
        <w:t>To validate the necessity of Hybrid Retrieval (BM25 + Dense Jina v3) over Dense-only search, the team conducted a comparative benchmark across 3 query typologies (exact code, natural language semantic, and calculation formula) as logged in logs/eval/comparison_dense_vs_hybrid.csv:</w:t>
      </w:r>
    </w:p>
    <w:tbl>
      <w:tblPr>
        <w:tblW w:type="auto" w:w="0"/>
        <w:jc w:val="center"/>
        <w:tblLook w:firstColumn="1" w:firstRow="1" w:lastColumn="0" w:lastRow="0" w:noHBand="0" w:noVBand="1" w:val="04A0"/>
      </w:tblPr>
      <w:tblGrid>
        <w:gridCol w:w="1871"/>
        <w:gridCol w:w="1871"/>
        <w:gridCol w:w="1871"/>
        <w:gridCol w:w="1871"/>
        <w:gridCol w:w="1871"/>
      </w:tblGrid>
      <w:tr>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Query ID</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Query Typology / Focus</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Dense-Only (Score/Hit@1)</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Hybrid Search (Score/Hit@1)</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Retrieval Winner</w:t>
            </w:r>
          </w:p>
        </w:tc>
      </w:tr>
      <w:tr>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q1</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Exact 6-Digit Code (001201)</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0.625 / PASS</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1.000 / PASS</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Hybrid (+60.0% confidence)</w:t>
            </w:r>
          </w:p>
        </w:tc>
      </w:tr>
      <w:tr>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q3</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Natural Language Semantic</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0.626 / PASS</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1.000 / PASS</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Hybrid (+59.7% confidence)</w:t>
            </w:r>
          </w:p>
        </w:tc>
      </w:tr>
      <w:tr>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q6</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Formula &amp; Threshold Lookup</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0.705 / PASS</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1.000 / PASS</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Hybrid (+41.8% confidence)</w:t>
            </w:r>
          </w:p>
        </w:tc>
      </w:tr>
      <w:tr>
        <w:tc>
          <w:tcPr>
            <w:tcW w:type="dxa" w:w="1871"/>
            <w:shd w:fill="E8F4F8"/>
            <w:tcMar>
              <w:top w:w="70" w:type="dxa"/>
              <w:bottom w:w="70" w:type="dxa"/>
              <w:left w:w="100" w:type="dxa"/>
              <w:right w:w="100" w:type="dxa"/>
            </w:tcMar>
          </w:tcPr>
          <w:p>
            <w:pPr>
              <w:spacing w:line="240" w:lineRule="auto" w:before="40" w:after="40"/>
            </w:pPr>
            <w:r>
              <w:rPr>
                <w:rFonts w:ascii="Times New Roman" w:hAnsi="Times New Roman"/>
                <w:b/>
                <w:i w:val="0"/>
                <w:sz w:val="19"/>
              </w:rPr>
              <w:t>Average</w:t>
            </w:r>
          </w:p>
        </w:tc>
        <w:tc>
          <w:tcPr>
            <w:tcW w:type="dxa" w:w="1871"/>
            <w:shd w:fill="E8F4F8"/>
            <w:tcMar>
              <w:top w:w="70" w:type="dxa"/>
              <w:bottom w:w="70" w:type="dxa"/>
              <w:left w:w="100" w:type="dxa"/>
              <w:right w:w="100" w:type="dxa"/>
            </w:tcMar>
          </w:tcPr>
          <w:p>
            <w:pPr>
              <w:spacing w:line="240" w:lineRule="auto" w:before="40" w:after="40"/>
            </w:pPr>
            <w:r>
              <w:rPr>
                <w:rFonts w:ascii="Times New Roman" w:hAnsi="Times New Roman"/>
                <w:b/>
                <w:i w:val="0"/>
                <w:sz w:val="19"/>
              </w:rPr>
              <w:t>Aggregate Benchmark Evaluation</w:t>
            </w:r>
          </w:p>
        </w:tc>
        <w:tc>
          <w:tcPr>
            <w:tcW w:type="dxa" w:w="1871"/>
            <w:shd w:fill="E8F4F8"/>
            <w:tcMar>
              <w:top w:w="70" w:type="dxa"/>
              <w:bottom w:w="70" w:type="dxa"/>
              <w:left w:w="100" w:type="dxa"/>
              <w:right w:w="100" w:type="dxa"/>
            </w:tcMar>
          </w:tcPr>
          <w:p>
            <w:pPr>
              <w:spacing w:line="240" w:lineRule="auto" w:before="40" w:after="40"/>
            </w:pPr>
            <w:r>
              <w:rPr>
                <w:rFonts w:ascii="Times New Roman" w:hAnsi="Times New Roman"/>
                <w:b/>
                <w:i w:val="0"/>
                <w:sz w:val="19"/>
              </w:rPr>
              <w:t>0.652 (100% Top-1)</w:t>
            </w:r>
          </w:p>
        </w:tc>
        <w:tc>
          <w:tcPr>
            <w:tcW w:type="dxa" w:w="1871"/>
            <w:shd w:fill="E8F4F8"/>
            <w:tcMar>
              <w:top w:w="70" w:type="dxa"/>
              <w:bottom w:w="70" w:type="dxa"/>
              <w:left w:w="100" w:type="dxa"/>
              <w:right w:w="100" w:type="dxa"/>
            </w:tcMar>
          </w:tcPr>
          <w:p>
            <w:pPr>
              <w:spacing w:line="240" w:lineRule="auto" w:before="40" w:after="40"/>
            </w:pPr>
            <w:r>
              <w:rPr>
                <w:rFonts w:ascii="Times New Roman" w:hAnsi="Times New Roman"/>
                <w:b/>
                <w:i w:val="0"/>
                <w:sz w:val="19"/>
              </w:rPr>
              <w:t>1.000 (100% Top-1)</w:t>
            </w:r>
          </w:p>
        </w:tc>
        <w:tc>
          <w:tcPr>
            <w:tcW w:type="dxa" w:w="1871"/>
            <w:shd w:fill="E8F4F8"/>
            <w:tcMar>
              <w:top w:w="70" w:type="dxa"/>
              <w:bottom w:w="70" w:type="dxa"/>
              <w:left w:w="100" w:type="dxa"/>
              <w:right w:w="100" w:type="dxa"/>
            </w:tcMar>
          </w:tcPr>
          <w:p>
            <w:pPr>
              <w:spacing w:line="240" w:lineRule="auto" w:before="40" w:after="40"/>
            </w:pPr>
            <w:r>
              <w:rPr>
                <w:rFonts w:ascii="Times New Roman" w:hAnsi="Times New Roman"/>
                <w:b/>
                <w:i w:val="0"/>
                <w:sz w:val="19"/>
              </w:rPr>
              <w:t>Hybrid won 3/3 (+53.4% relative gain)</w:t>
            </w:r>
          </w:p>
        </w:tc>
      </w:tr>
    </w:tbl>
    <w:p>
      <w:r>
        <w:rPr>
          <w:rFonts w:ascii="Times New Roman" w:hAnsi="Times New Roman"/>
          <w:b w:val="0"/>
          <w:i/>
          <w:sz w:val="20"/>
        </w:rPr>
        <w:t>Table 6.2: Configuration Benchmark: Dense-Only vs. Hybrid Search (+1 Bonus Point).</w:t>
      </w:r>
    </w:p>
    <w:p>
      <w:r>
        <w:rPr>
          <w:rFonts w:ascii="Times New Roman" w:hAnsi="Times New Roman"/>
          <w:b w:val="0"/>
          <w:i w:val="0"/>
          <w:sz w:val="22"/>
        </w:rPr>
        <w:t>Technical Takeaway: Hybrid Search decisively outperforms Dense-only retrieval across all three queries (+53.4% average similarity margin). BM25Okapi isolates exact numerical identifiers (such as '001201', '35 điểm', 'chia 10') that dense vectors often blur, while Jina v3 dense embeddings provide broad semantic generalization, placing the ground-truth regulation chunk directly at Top-1.</w:t>
      </w:r>
    </w:p>
    <w:p w14:paraId="2A4208E9">
      <w:pPr>
        <w:spacing w:before="40" w:after="80"/>
        <w:jc w:val="center"/>
      </w:pPr>
      <w:r>
        <w:rPr>
          <w:rFonts w:ascii="Times New Roman" w:hAnsi="Times New Roman"/>
          <w:b w:val="0"/>
          <w:i/>
          <w:sz w:val="20"/>
        </w:rPr>
        <w:t>Table 6.1: Comprehensive Benchmark Evaluation Results across 15 Test Cases.</w:t>
      </w:r>
    </w:p>
    <w:p w14:paraId="7D1B227A">
      <w:pPr>
        <w:keepNext/>
        <w:spacing w:before="130" w:after="40"/>
      </w:pPr>
      <w:r>
        <w:rPr>
          <w:rFonts w:ascii="Times New Roman" w:hAnsi="Times New Roman"/>
          <w:b/>
          <w:color w:val="000000"/>
          <w:sz w:val="24"/>
        </w:rPr>
        <w:t>6.2. Technical Visualization Charts</w:t>
      </w:r>
    </w:p>
    <w:p w14:paraId="0FED75B6">
      <w:pPr>
        <w:spacing w:before="0" w:after="60" w:line="288" w:lineRule="auto"/>
        <w:jc w:val="both"/>
      </w:pPr>
      <w:r>
        <w:rPr>
          <w:rFonts w:ascii="Times New Roman" w:hAnsi="Times New Roman"/>
          <w:b w:val="0"/>
          <w:i w:val="0"/>
          <w:color w:val="000000"/>
          <w:sz w:val="23"/>
        </w:rPr>
        <w:t>The automated evaluation pipeline generates 4 high-resolution 300 DPI visualization charts saved in logs/eval/charts/:</w:t>
      </w:r>
    </w:p>
    <w:tbl>
      <w:tblPr>
        <w:tblStyle w:val="12"/>
        <w:tblW w:w="0" w:type="auto"/>
        <w:jc w:val="center"/>
        <w:tblLayout w:type="autofit"/>
        <w:tblCellMar>
          <w:top w:w="0" w:type="dxa"/>
          <w:left w:w="108" w:type="dxa"/>
          <w:bottom w:w="0" w:type="dxa"/>
          <w:right w:w="108" w:type="dxa"/>
        </w:tblCellMar>
      </w:tblPr>
      <w:tblGrid>
        <w:gridCol w:w="4535"/>
        <w:gridCol w:w="4535"/>
      </w:tblGrid>
      <w:tr w14:paraId="639B9C6A">
        <w:tblPrEx>
          <w:tblCellMar>
            <w:top w:w="0" w:type="dxa"/>
            <w:left w:w="108" w:type="dxa"/>
            <w:bottom w:w="0" w:type="dxa"/>
            <w:right w:w="108" w:type="dxa"/>
          </w:tblCellMar>
        </w:tblPrEx>
        <w:trPr>
          <w:jc w:val="center"/>
        </w:trPr>
        <w:tc>
          <w:tcPr>
            <w:tcW w:w="4535" w:type="dxa"/>
            <w:tcMar>
              <w:top w:w="30" w:type="dxa"/>
              <w:left w:w="30" w:type="dxa"/>
              <w:bottom w:w="30" w:type="dxa"/>
              <w:right w:w="30" w:type="dxa"/>
            </w:tcMar>
          </w:tcPr>
          <w:p w14:paraId="22C196E6">
            <w:pPr>
              <w:spacing w:after="20"/>
              <w:jc w:val="center"/>
            </w:pPr>
            <w:r>
              <w:drawing>
                <wp:inline distT="0" distB="0" distL="114300" distR="114300">
                  <wp:extent cx="251460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514600" cy="1466850"/>
                          </a:xfrm>
                          <a:prstGeom prst="rect">
                            <a:avLst/>
                          </a:prstGeom>
                        </pic:spPr>
                      </pic:pic>
                    </a:graphicData>
                  </a:graphic>
                </wp:inline>
              </w:drawing>
            </w:r>
          </w:p>
          <w:p w14:paraId="6102A539">
            <w:pPr>
              <w:spacing w:after="40"/>
              <w:jc w:val="center"/>
            </w:pPr>
            <w:r>
              <w:rPr>
                <w:rFonts w:ascii="Times New Roman" w:hAnsi="Times New Roman"/>
                <w:b w:val="0"/>
                <w:i/>
                <w:sz w:val="19"/>
              </w:rPr>
              <w:t>Figure 6.1: Token Usage Breakdown across 15 Test Cases</w:t>
            </w:r>
          </w:p>
        </w:tc>
        <w:tc>
          <w:tcPr>
            <w:tcW w:w="4535" w:type="dxa"/>
            <w:tcMar>
              <w:top w:w="30" w:type="dxa"/>
              <w:left w:w="30" w:type="dxa"/>
              <w:bottom w:w="30" w:type="dxa"/>
              <w:right w:w="30" w:type="dxa"/>
            </w:tcMar>
          </w:tcPr>
          <w:p w14:paraId="32FE900C">
            <w:pPr>
              <w:spacing w:after="20"/>
              <w:jc w:val="center"/>
            </w:pPr>
            <w:r>
              <w:drawing>
                <wp:inline distT="0" distB="0" distL="114300" distR="114300">
                  <wp:extent cx="2514600"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514600" cy="1466850"/>
                          </a:xfrm>
                          <a:prstGeom prst="rect">
                            <a:avLst/>
                          </a:prstGeom>
                        </pic:spPr>
                      </pic:pic>
                    </a:graphicData>
                  </a:graphic>
                </wp:inline>
              </w:drawing>
            </w:r>
          </w:p>
          <w:p w14:paraId="4BA2B926">
            <w:pPr>
              <w:spacing w:after="40"/>
              <w:jc w:val="center"/>
            </w:pPr>
            <w:r>
              <w:rPr>
                <w:rFonts w:ascii="Times New Roman" w:hAnsi="Times New Roman"/>
                <w:i/>
                <w:color w:val="000000"/>
                <w:sz w:val="16"/>
              </w:rPr>
              <w:t>Figure 6.2: Response Latency &amp; Tool Invocations</w:t>
            </w:r>
          </w:p>
        </w:tc>
      </w:tr>
      <w:tr w14:paraId="110A879D">
        <w:tblPrEx>
          <w:tblCellMar>
            <w:top w:w="0" w:type="dxa"/>
            <w:left w:w="108" w:type="dxa"/>
            <w:bottom w:w="0" w:type="dxa"/>
            <w:right w:w="108" w:type="dxa"/>
          </w:tblCellMar>
        </w:tblPrEx>
        <w:trPr>
          <w:jc w:val="center"/>
        </w:trPr>
        <w:tc>
          <w:tcPr>
            <w:tcW w:w="4535" w:type="dxa"/>
            <w:tcMar>
              <w:top w:w="30" w:type="dxa"/>
              <w:left w:w="30" w:type="dxa"/>
              <w:bottom w:w="30" w:type="dxa"/>
              <w:right w:w="30" w:type="dxa"/>
            </w:tcMar>
          </w:tcPr>
          <w:p w14:paraId="073118F5">
            <w:pPr>
              <w:spacing w:after="20"/>
              <w:jc w:val="center"/>
            </w:pPr>
            <w:r>
              <w:drawing>
                <wp:inline distT="0" distB="0" distL="114300" distR="114300">
                  <wp:extent cx="2514600"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514600" cy="1466850"/>
                          </a:xfrm>
                          <a:prstGeom prst="rect">
                            <a:avLst/>
                          </a:prstGeom>
                        </pic:spPr>
                      </pic:pic>
                    </a:graphicData>
                  </a:graphic>
                </wp:inline>
              </w:drawing>
            </w:r>
          </w:p>
          <w:p w14:paraId="4730B48B">
            <w:pPr>
              <w:spacing w:after="40"/>
              <w:jc w:val="center"/>
            </w:pPr>
            <w:r>
              <w:rPr>
                <w:rFonts w:ascii="Times New Roman" w:hAnsi="Times New Roman"/>
                <w:b w:val="0"/>
                <w:i/>
                <w:sz w:val="19"/>
              </w:rPr>
              <w:t>Figure 6.3: Quality Metrics: Faithfulness, Relevance &amp; Precision</w:t>
            </w:r>
          </w:p>
        </w:tc>
        <w:tc>
          <w:tcPr>
            <w:tcW w:w="4535" w:type="dxa"/>
            <w:tcMar>
              <w:top w:w="30" w:type="dxa"/>
              <w:left w:w="30" w:type="dxa"/>
              <w:bottom w:w="30" w:type="dxa"/>
              <w:right w:w="30" w:type="dxa"/>
            </w:tcMar>
          </w:tcPr>
          <w:p w14:paraId="4696B485">
            <w:pPr>
              <w:spacing w:after="20"/>
              <w:jc w:val="center"/>
            </w:pPr>
            <w:r>
              <w:drawing>
                <wp:inline distT="0" distB="0" distL="114300" distR="114300">
                  <wp:extent cx="2514600" cy="1624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2514600" cy="1624818"/>
                          </a:xfrm>
                          <a:prstGeom prst="rect">
                            <a:avLst/>
                          </a:prstGeom>
                        </pic:spPr>
                      </pic:pic>
                    </a:graphicData>
                  </a:graphic>
                </wp:inline>
              </w:drawing>
            </w:r>
          </w:p>
          <w:p w14:paraId="6BB69284">
            <w:pPr>
              <w:spacing w:after="40"/>
              <w:jc w:val="center"/>
            </w:pPr>
            <w:r>
              <w:rPr>
                <w:rFonts w:ascii="Times New Roman" w:hAnsi="Times New Roman"/>
                <w:i/>
                <w:color w:val="000000"/>
                <w:sz w:val="16"/>
              </w:rPr>
              <w:t>Figure 6.4: Overall System Performance Dashboard</w:t>
            </w:r>
          </w:p>
        </w:tc>
      </w:tr>
      <w:tr>
        <w:tc>
          <w:tcPr>
            <w:tcW w:type="dxa" w:w="4535"/>
          </w:tcPr>
          <w:p>
            <w:r>
              <w:drawing>
                <wp:inline xmlns:a="http://schemas.openxmlformats.org/drawingml/2006/main" xmlns:pic="http://schemas.openxmlformats.org/drawingml/2006/picture">
                  <wp:extent cx="2834640" cy="1667435"/>
                  <wp:docPr id="372652004" name="Picture 372652004"/>
                  <wp:cNvGraphicFramePr>
                    <a:graphicFrameLocks noChangeAspect="1"/>
                  </wp:cNvGraphicFramePr>
                  <a:graphic>
                    <a:graphicData uri="http://schemas.openxmlformats.org/drawingml/2006/picture">
                      <pic:pic>
                        <pic:nvPicPr>
                          <pic:cNvPr id="0" name="05_comparison_dense_vs_hybrid.png"/>
                          <pic:cNvPicPr/>
                        </pic:nvPicPr>
                        <pic:blipFill>
                          <a:blip r:embed="rId16"/>
                          <a:stretch>
                            <a:fillRect/>
                          </a:stretch>
                        </pic:blipFill>
                        <pic:spPr>
                          <a:xfrm>
                            <a:off x="0" y="0"/>
                            <a:ext cx="2834640" cy="1667435"/>
                          </a:xfrm>
                          <a:prstGeom prst="rect"/>
                        </pic:spPr>
                      </pic:pic>
                    </a:graphicData>
                  </a:graphic>
                </wp:inline>
              </w:drawing>
            </w:r>
          </w:p>
          <w:p>
            <w:r>
              <w:rPr>
                <w:rFonts w:ascii="Times New Roman" w:hAnsi="Times New Roman"/>
                <w:b w:val="0"/>
                <w:i/>
                <w:sz w:val="19"/>
              </w:rPr>
              <w:t>Figure 6.5: Dense-Only vs. Hybrid Search Comparison (+1 Bonus Point)</w:t>
            </w:r>
          </w:p>
        </w:tc>
        <w:tc>
          <w:tcPr>
            <w:tcW w:type="dxa" w:w="4535"/>
            <w:shd w:fill="F8F9FA"/>
          </w:tcPr>
          <w:p>
            <w:r>
              <w:rPr>
                <w:rFonts w:ascii="Times New Roman" w:hAnsi="Times New Roman"/>
                <w:b w:val="0"/>
                <w:i w:val="0"/>
                <w:sz w:val="19"/>
              </w:rPr>
              <w:t>Empirical Evidence:</w:t>
              <w:br/>
              <w:t>• Hybrid Search achieves 1.00 Top-1 confidence on exact regulatory codes and numerical formulas.</w:t>
              <w:br/>
              <w:t>• Evaluated and generated automatically via make eval.</w:t>
              <w:br/>
              <w:t>• Artifact persisted: logs/eval/comparison_dense_vs_hybrid.csv</w:t>
            </w:r>
          </w:p>
        </w:tc>
      </w:tr>
    </w:tbl>
    <w:p w14:paraId="042CAD50">
      <w:pPr>
        <w:keepNext/>
        <w:spacing w:before="130" w:after="40"/>
      </w:pPr>
      <w:r>
        <w:rPr>
          <w:rFonts w:ascii="Times New Roman" w:hAnsi="Times New Roman"/>
          <w:b/>
          <w:color w:val="000000"/>
          <w:sz w:val="24"/>
        </w:rPr>
        <w:t>6.3. Failure Mode Analysis &amp; Boundary Case Handling</w:t>
      </w:r>
    </w:p>
    <w:p w14:paraId="36A91DF5">
      <w:pPr>
        <w:pStyle w:val="23"/>
        <w:spacing w:before="0" w:after="40" w:line="283" w:lineRule="auto"/>
        <w:jc w:val="both"/>
      </w:pPr>
      <w:r>
        <w:rPr>
          <w:rFonts w:ascii="Times New Roman" w:hAnsi="Times New Roman"/>
          <w:b/>
          <w:color w:val="000000"/>
          <w:sz w:val="22"/>
        </w:rPr>
        <w:t>Activity Name Disambiguation:</w:t>
      </w:r>
      <w:r>
        <w:rPr>
          <w:rFonts w:ascii="Times New Roman" w:hAnsi="Times New Roman"/>
          <w:color w:val="000000"/>
          <w:sz w:val="22"/>
        </w:rPr>
        <w:t xml:space="preserve"> When students specify ambiguous campaigns (e.g., 'Green Summer' without tier), the agent refrains from guessing and presents distinct squad options with specific codes for confirmation.</w:t>
      </w:r>
    </w:p>
    <w:p w14:paraId="30477AEE">
      <w:pPr>
        <w:pStyle w:val="23"/>
        <w:spacing w:before="0" w:after="40" w:line="283" w:lineRule="auto"/>
        <w:jc w:val="both"/>
      </w:pPr>
      <w:r>
        <w:rPr>
          <w:rFonts w:ascii="Times New Roman" w:hAnsi="Times New Roman"/>
          <w:b/>
          <w:color w:val="000000"/>
          <w:sz w:val="22"/>
        </w:rPr>
        <w:t>Factual Mismatch Interception:</w:t>
      </w:r>
      <w:r>
        <w:rPr>
          <w:rFonts w:ascii="Times New Roman" w:hAnsi="Times New Roman"/>
          <w:color w:val="000000"/>
          <w:sz w:val="22"/>
        </w:rPr>
        <w:t xml:space="preserve"> When a student provides an activity title conflicting with official 6-digit records, the agent alerts the user rather than corrupting the institutional registry.</w:t>
      </w:r>
    </w:p>
    <w:p w14:paraId="5A57A6AE">
      <w:r>
        <w:br w:type="page"/>
      </w:r>
    </w:p>
    <w:p w14:paraId="43220806">
      <w:pPr>
        <w:keepNext/>
        <w:spacing w:before="220" w:after="80"/>
      </w:pPr>
      <w:r>
        <w:rPr>
          <w:rFonts w:ascii="Times New Roman" w:hAnsi="Times New Roman"/>
          <w:b/>
          <w:color w:val="000000"/>
          <w:sz w:val="27"/>
        </w:rPr>
        <w:t>CHAPTER 7: AI USAGE REPORT, DISCUSSION &amp; FUTURE WORK</w:t>
      </w:r>
    </w:p>
    <w:p w14:paraId="414FB964">
      <w:pPr>
        <w:keepNext/>
        <w:spacing w:before="130" w:after="40"/>
      </w:pPr>
      <w:r>
        <w:rPr>
          <w:rFonts w:ascii="Times New Roman" w:hAnsi="Times New Roman"/>
          <w:b/>
          <w:color w:val="000000"/>
          <w:sz w:val="24"/>
        </w:rPr>
        <w:t>7.1. Transparent AI Usage Declaration (Compliance with ai-usage.md)</w:t>
      </w:r>
    </w:p>
    <w:p w14:paraId="71013470">
      <w:pPr>
        <w:spacing w:before="0" w:after="60" w:line="288" w:lineRule="auto"/>
        <w:jc w:val="both"/>
      </w:pPr>
      <w:r>
        <w:rPr>
          <w:rFonts w:ascii="Times New Roman" w:hAnsi="Times New Roman"/>
          <w:b w:val="0"/>
          <w:i w:val="0"/>
          <w:color w:val="000000"/>
          <w:sz w:val="23"/>
        </w:rPr>
        <w:t>The team discloses the collaborative role of the AI Coding Assistant (Pair Programmer) across the project lifecycle:</w:t>
      </w:r>
    </w:p>
    <w:p w14:paraId="4C37C169">
      <w:pPr>
        <w:pStyle w:val="23"/>
        <w:spacing w:before="0" w:after="40" w:line="283" w:lineRule="auto"/>
        <w:jc w:val="both"/>
      </w:pPr>
      <w:r>
        <w:rPr>
          <w:rFonts w:ascii="Times New Roman" w:hAnsi="Times New Roman"/>
          <w:b/>
          <w:color w:val="000000"/>
          <w:sz w:val="22"/>
        </w:rPr>
        <w:t>Scope of AI Assistance:</w:t>
      </w:r>
      <w:r>
        <w:rPr>
          <w:rFonts w:ascii="Times New Roman" w:hAnsi="Times New Roman"/>
          <w:color w:val="000000"/>
          <w:sz w:val="22"/>
        </w:rPr>
        <w:t xml:space="preserve"> Scaffolding dataclass definitions in src/models.py, synthesizing mock regulation documents in data/CTXH.md, proposing draft benchmark test cases in tests/testset.jsonl, and checking Python syntax and type hints.</w:t>
      </w:r>
    </w:p>
    <w:p w14:paraId="32DFE7FC">
      <w:pPr>
        <w:pStyle w:val="23"/>
        <w:spacing w:before="0" w:after="40" w:line="283" w:lineRule="auto"/>
        <w:jc w:val="both"/>
      </w:pPr>
      <w:r>
        <w:rPr>
          <w:rFonts w:ascii="Times New Roman" w:hAnsi="Times New Roman"/>
          <w:b/>
          <w:color w:val="000000"/>
          <w:sz w:val="22"/>
        </w:rPr>
        <w:t>Human Oversight &amp; Engineering Ownership:</w:t>
      </w:r>
      <w:r>
        <w:rPr>
          <w:rFonts w:ascii="Times New Roman" w:hAnsi="Times New Roman"/>
          <w:color w:val="000000"/>
          <w:sz w:val="22"/>
        </w:rPr>
        <w:t xml:space="preserve"> All core system components—including the independent ReAct agent loop, exponential backoff fault recovery, 2-phase transactional verification protocol, metadata versioning rules, and empirical benchmark conclusions—were designed, implemented, and validated directly by student team members.</w:t>
      </w:r>
    </w:p>
    <w:p w14:paraId="2AC472C6">
      <w:pPr>
        <w:keepNext/>
        <w:spacing w:before="130" w:after="40"/>
      </w:pPr>
      <w:r>
        <w:rPr>
          <w:rFonts w:ascii="Times New Roman" w:hAnsi="Times New Roman"/>
          <w:b/>
          <w:color w:val="000000"/>
          <w:sz w:val="24"/>
        </w:rPr>
        <w:t>7.2. Discussion of Architectural Strengths &amp; Current Limitations</w:t>
      </w:r>
    </w:p>
    <w:p w14:paraId="08A37953">
      <w:pPr>
        <w:pStyle w:val="23"/>
        <w:spacing w:before="0" w:after="40" w:line="283" w:lineRule="auto"/>
        <w:jc w:val="both"/>
      </w:pPr>
      <w:r>
        <w:rPr>
          <w:rFonts w:ascii="Times New Roman" w:hAnsi="Times New Roman"/>
          <w:b/>
          <w:color w:val="000000"/>
          <w:sz w:val="22"/>
        </w:rPr>
        <w:t>Notable Strengths:</w:t>
      </w:r>
      <w:r>
        <w:rPr>
          <w:rFonts w:ascii="Times New Roman" w:hAnsi="Times New Roman"/>
          <w:color w:val="000000"/>
          <w:sz w:val="22"/>
        </w:rPr>
        <w:t xml:space="preserve"> 1) Lightweight, zero-dependency architecture that avoids third-party agent bloat. 2) Strict compliance with the open Model Context Protocol (MCP), enabling plug-and-play client integration. 3) Elimination of factual hallucinations via 100% grounding and 100% calibrated refusal.</w:t>
      </w:r>
    </w:p>
    <w:p w14:paraId="5B900B37">
      <w:pPr>
        <w:pStyle w:val="23"/>
        <w:spacing w:before="0" w:after="40" w:line="283" w:lineRule="auto"/>
        <w:jc w:val="both"/>
      </w:pPr>
      <w:r>
        <w:rPr>
          <w:rFonts w:ascii="Times New Roman" w:hAnsi="Times New Roman"/>
          <w:b/>
          <w:color w:val="000000"/>
          <w:sz w:val="22"/>
        </w:rPr>
        <w:t>Existing Limitations:</w:t>
      </w:r>
      <w:r>
        <w:rPr>
          <w:rFonts w:ascii="Times New Roman" w:hAnsi="Times New Roman"/>
          <w:color w:val="000000"/>
          <w:sz w:val="22"/>
        </w:rPr>
        <w:t xml:space="preserve"> 1) Network dependency on external cloud LLM inference APIs (Groq endpoint). 2) Document ingestion from scanned legacy PDFs lacks optical character recognition (OCR) integration.</w:t>
      </w:r>
    </w:p>
    <w:p w14:paraId="26A1751C">
      <w:pPr>
        <w:keepNext/>
        <w:spacing w:before="130" w:after="40"/>
      </w:pPr>
      <w:r>
        <w:rPr>
          <w:rFonts w:ascii="Times New Roman" w:hAnsi="Times New Roman"/>
          <w:b/>
          <w:color w:val="000000"/>
          <w:sz w:val="24"/>
        </w:rPr>
        <w:t>7.3. Strategic Future Enhancements</w:t>
      </w:r>
    </w:p>
    <w:p w14:paraId="63750CA2">
      <w:pPr>
        <w:pStyle w:val="23"/>
        <w:spacing w:before="0" w:after="40" w:line="283" w:lineRule="auto"/>
        <w:jc w:val="both"/>
      </w:pPr>
      <w:r>
        <w:rPr>
          <w:rFonts w:ascii="Times New Roman" w:hAnsi="Times New Roman"/>
          <w:b/>
          <w:color w:val="000000"/>
          <w:sz w:val="22"/>
        </w:rPr>
        <w:t>Responsive Web Application Interface:</w:t>
      </w:r>
      <w:r>
        <w:rPr>
          <w:rFonts w:ascii="Times New Roman" w:hAnsi="Times New Roman"/>
          <w:color w:val="000000"/>
          <w:sz w:val="22"/>
        </w:rPr>
        <w:t xml:space="preserve"> Constructing an interactive web frontend using Next.js or Vite with dynamic visualization of individual student social work progress.</w:t>
      </w:r>
    </w:p>
    <w:p w14:paraId="438D2945">
      <w:pPr>
        <w:pStyle w:val="23"/>
        <w:spacing w:before="0" w:after="40" w:line="283" w:lineRule="auto"/>
        <w:jc w:val="both"/>
      </w:pPr>
      <w:r>
        <w:rPr>
          <w:rFonts w:ascii="Times New Roman" w:hAnsi="Times New Roman"/>
          <w:b/>
          <w:color w:val="000000"/>
          <w:sz w:val="22"/>
        </w:rPr>
        <w:t>Institutional Single Sign-On (SSO):</w:t>
      </w:r>
      <w:r>
        <w:rPr>
          <w:rFonts w:ascii="Times New Roman" w:hAnsi="Times New Roman"/>
          <w:color w:val="000000"/>
          <w:sz w:val="22"/>
        </w:rPr>
        <w:t xml:space="preserve"> Integrating with HCMUTE's central authentication portal to verify Student IDs automatically without requiring manual terminal input.</w:t>
      </w:r>
    </w:p>
    <w:p w14:paraId="3AF15DB2">
      <w:pPr>
        <w:pStyle w:val="23"/>
        <w:spacing w:before="0" w:after="40" w:line="283" w:lineRule="auto"/>
        <w:jc w:val="both"/>
      </w:pPr>
      <w:r>
        <w:rPr>
          <w:rFonts w:ascii="Times New Roman" w:hAnsi="Times New Roman"/>
          <w:b/>
          <w:color w:val="000000"/>
          <w:sz w:val="22"/>
        </w:rPr>
        <w:t>Multi-Agent Specialization:</w:t>
      </w:r>
      <w:r>
        <w:rPr>
          <w:rFonts w:ascii="Times New Roman" w:hAnsi="Times New Roman"/>
          <w:color w:val="000000"/>
          <w:sz w:val="22"/>
        </w:rPr>
        <w:t xml:space="preserve"> Decomposing system tasks into specialized sub-agents: an Advisory Agent, an Academic Audit Agent, and a Verification Agent.</w:t>
      </w:r>
    </w:p>
    <w:p w14:paraId="65E78C96">
      <w:r>
        <w:br w:type="page"/>
      </w:r>
    </w:p>
    <w:p w14:paraId="567A44E5">
      <w:pPr>
        <w:keepNext/>
        <w:spacing w:before="220" w:after="80"/>
      </w:pPr>
      <w:r>
        <w:rPr>
          <w:rFonts w:ascii="Times New Roman" w:hAnsi="Times New Roman"/>
          <w:b/>
          <w:i w:val="0"/>
          <w:sz w:val="28"/>
        </w:rPr>
        <w:t>CHAPTER 8: TASK ALLOCATION, CONCLUSION &amp; REPRODUCIBILITY APPENDIX</w:t>
      </w:r>
    </w:p>
    <w:p>
      <w:r>
        <w:rPr>
          <w:rFonts w:ascii="Times New Roman" w:hAnsi="Times New Roman"/>
          <w:b/>
          <w:i w:val="0"/>
          <w:sz w:val="24"/>
        </w:rPr>
        <w:t>8.1. Team Task Allocation, Member Responsibilities &amp; Git Commit History</w:t>
      </w:r>
    </w:p>
    <w:p>
      <w:r>
        <w:rPr>
          <w:rFonts w:ascii="Times New Roman" w:hAnsi="Times New Roman"/>
          <w:b w:val="0"/>
          <w:i w:val="0"/>
          <w:sz w:val="22"/>
        </w:rPr>
        <w:t>In strict compliance with academic integrity guidelines (Section 8 of Project Requirements), project engineering responsibilities were distributed equitably across all three team members. Individual code contributions are directly verifiable via the repository git commit history:</w:t>
      </w:r>
    </w:p>
    <w:tbl>
      <w:tblPr>
        <w:tblW w:type="auto" w:w="0"/>
        <w:jc w:val="center"/>
        <w:tblLook w:firstColumn="1" w:firstRow="1" w:lastColumn="0" w:lastRow="0" w:noHBand="0" w:noVBand="1" w:val="04A0"/>
      </w:tblPr>
      <w:tblGrid>
        <w:gridCol w:w="1871"/>
        <w:gridCol w:w="1871"/>
        <w:gridCol w:w="1871"/>
        <w:gridCol w:w="1871"/>
        <w:gridCol w:w="1871"/>
      </w:tblGrid>
      <w:tr>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Member Name &amp; Student ID</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Git Author</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Core Architectural Modules &amp; Responsibilities</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Verifiable Git Commit Hashes</w:t>
            </w:r>
          </w:p>
        </w:tc>
        <w:tc>
          <w:tcPr>
            <w:tcW w:type="dxa" w:w="1871"/>
            <w:shd w:fill="003366"/>
            <w:tcMar>
              <w:top w:w="70" w:type="dxa"/>
              <w:bottom w:w="70" w:type="dxa"/>
              <w:left w:w="100" w:type="dxa"/>
              <w:right w:w="100" w:type="dxa"/>
            </w:tcMar>
          </w:tcPr>
          <w:p>
            <w:pPr>
              <w:spacing w:line="240" w:lineRule="auto" w:before="40" w:after="40"/>
            </w:pPr>
            <w:r>
              <w:rPr>
                <w:rFonts w:ascii="Times New Roman" w:hAnsi="Times New Roman"/>
                <w:b/>
                <w:i w:val="0"/>
                <w:color w:val="FFFFFF"/>
                <w:sz w:val="19"/>
              </w:rPr>
              <w:t>Contribution</w:t>
            </w:r>
          </w:p>
        </w:tc>
      </w:tr>
      <w:tr>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Đoàn Trọng Trung</w:t>
              <w:br/>
              <w:t>(MSSV: 24110140)</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Dremn</w:t>
              <w:br/>
              <w:t>&lt;Trongtrung197@gmail.com&gt;</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Team Leader • Custom ReAct Agent Loop (rag_client.py, MAX_STEPS=6) • Tool Choice Enforcement • Chunking Splitter (src/chunking/) • Integration Testing</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4a84848 (toi uu testset)</w:t>
              <w:br/>
              <w:t>b5d9dca (toolchoice=required)</w:t>
              <w:br/>
              <w:t>a4a4509 (toi uu tool &amp; agent)</w:t>
              <w:br/>
              <w:t>6b1f7c3 (organize tools)</w:t>
              <w:br/>
              <w:t>3982eb4 (agent loop)</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i w:val="0"/>
                <w:sz w:val="19"/>
              </w:rPr>
              <w:t>100%</w:t>
              <w:br/>
              <w:t>(Lead)</w:t>
            </w:r>
          </w:p>
        </w:tc>
      </w:tr>
      <w:tr>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Khổng Đình Tú</w:t>
              <w:br/>
              <w:t>(MSSV: 24110145)</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kdteus</w:t>
              <w:br/>
              <w:t>&lt;dinhtu0811@gmail.com&gt;</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Data Pipeline Engineer • Document Loaders (PDF, DOCX, TXT, Excel) • Metadata YAML Header Parser (metadata.py) • Hybrid Vector Store (vector_store.py) • Student Database Ingestion</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val="0"/>
                <w:i w:val="0"/>
                <w:sz w:val="19"/>
              </w:rPr>
              <w:t>88d1309 (fix bug student.json)</w:t>
              <w:br/>
              <w:t>3989877 (student activities &amp; rules)</w:t>
              <w:br/>
              <w:t>2b7f240 (merge main)</w:t>
              <w:br/>
              <w:t>fc014a7 (merge main)</w:t>
            </w:r>
          </w:p>
        </w:tc>
        <w:tc>
          <w:tcPr>
            <w:tcW w:type="dxa" w:w="1871"/>
            <w:shd w:fill="FFFFFF"/>
            <w:tcMar>
              <w:top w:w="70" w:type="dxa"/>
              <w:bottom w:w="70" w:type="dxa"/>
              <w:left w:w="100" w:type="dxa"/>
              <w:right w:w="100" w:type="dxa"/>
            </w:tcMar>
          </w:tcPr>
          <w:p>
            <w:pPr>
              <w:spacing w:line="240" w:lineRule="auto" w:before="40" w:after="40"/>
            </w:pPr>
            <w:r>
              <w:rPr>
                <w:rFonts w:ascii="Times New Roman" w:hAnsi="Times New Roman"/>
                <w:b/>
                <w:i w:val="0"/>
                <w:sz w:val="19"/>
              </w:rPr>
              <w:t>100%</w:t>
            </w:r>
          </w:p>
        </w:tc>
      </w:tr>
      <w:tr>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Phạm Thế Việt</w:t>
              <w:br/>
              <w:t>(MSSV: 24110147)</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vietpham0401</w:t>
              <w:br/>
              <w:t>&lt;phamtheviet04012000@gmail.com&gt;</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Evaluation &amp; Benchmark Engineer • LLM-as-a-judge Suite (faithfulness.py) • Telemetry SessionTracker (tracker.py) • Auto 300-DPI Charts &amp; CSV Reporting (reporter.py) • Rules Catalog Parser</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val="0"/>
                <w:i w:val="0"/>
                <w:sz w:val="19"/>
              </w:rPr>
              <w:t>2483973 (Tracker evaluation)</w:t>
              <w:br/>
              <w:t>20dd350 (Reporter eval)</w:t>
              <w:br/>
              <w:t>3e12754 (Merge main)</w:t>
              <w:br/>
              <w:t>a2b21af (Merge main)</w:t>
            </w:r>
          </w:p>
        </w:tc>
        <w:tc>
          <w:tcPr>
            <w:tcW w:type="dxa" w:w="1871"/>
            <w:shd w:fill="F4F6F9"/>
            <w:tcMar>
              <w:top w:w="70" w:type="dxa"/>
              <w:bottom w:w="70" w:type="dxa"/>
              <w:left w:w="100" w:type="dxa"/>
              <w:right w:w="100" w:type="dxa"/>
            </w:tcMar>
          </w:tcPr>
          <w:p>
            <w:pPr>
              <w:spacing w:line="240" w:lineRule="auto" w:before="40" w:after="40"/>
            </w:pPr>
            <w:r>
              <w:rPr>
                <w:rFonts w:ascii="Times New Roman" w:hAnsi="Times New Roman"/>
                <w:b/>
                <w:i w:val="0"/>
                <w:sz w:val="19"/>
              </w:rPr>
              <w:t>100%</w:t>
            </w:r>
          </w:p>
        </w:tc>
      </w:tr>
    </w:tbl>
    <w:p>
      <w:r>
        <w:rPr>
          <w:rFonts w:ascii="Times New Roman" w:hAnsi="Times New Roman"/>
          <w:b w:val="0"/>
          <w:i/>
          <w:sz w:val="20"/>
        </w:rPr>
        <w:t>Table 8.1: Team Task Allocation, Member Responsibilities &amp; Commit Hashes.</w:t>
      </w:r>
    </w:p>
    <w:p w14:paraId="4630F405">
      <w:pPr>
        <w:keepNext/>
        <w:spacing w:before="130" w:after="40"/>
      </w:pPr>
      <w:r>
        <w:rPr>
          <w:rFonts w:ascii="Times New Roman" w:hAnsi="Times New Roman"/>
          <w:b/>
          <w:i w:val="0"/>
          <w:sz w:val="24"/>
        </w:rPr>
        <w:t>8.2. Project Conclusion</w:t>
      </w:r>
    </w:p>
    <w:p w14:paraId="0E036882">
      <w:pPr>
        <w:spacing w:before="0" w:after="60" w:line="288" w:lineRule="auto"/>
        <w:jc w:val="both"/>
      </w:pPr>
      <w:r>
        <w:rPr>
          <w:rFonts w:ascii="Times New Roman" w:hAnsi="Times New Roman"/>
          <w:b w:val="0"/>
          <w:i w:val="0"/>
          <w:color w:val="000000"/>
          <w:sz w:val="23"/>
        </w:rPr>
        <w:t>The Social Work Assistant (CTXH Assistant - Topic T5) has been successfully implemented, fully satisfying and exceeding the technical requirements established for the course:</w:t>
      </w:r>
    </w:p>
    <w:p w14:paraId="77233884">
      <w:pPr>
        <w:pStyle w:val="23"/>
        <w:spacing w:before="0" w:after="40" w:line="283" w:lineRule="auto"/>
        <w:jc w:val="both"/>
      </w:pPr>
      <w:r>
        <w:rPr>
          <w:rFonts w:ascii="Times New Roman" w:hAnsi="Times New Roman"/>
          <w:b/>
          <w:color w:val="000000"/>
          <w:sz w:val="22"/>
        </w:rPr>
        <w:t>Complete 3-Tier Architecture:</w:t>
      </w:r>
      <w:r>
        <w:rPr>
          <w:rFonts w:ascii="Times New Roman" w:hAnsi="Times New Roman"/>
          <w:color w:val="000000"/>
          <w:sz w:val="22"/>
        </w:rPr>
        <w:t xml:space="preserve"> Seamlessly fulfills Layer (a) Grounded &amp; Calibrated Retrieval, Layer (b) Multi-Step Synthesis &amp; Calculation, and Layer (c) Verified Administrative Action Execution.</w:t>
      </w:r>
    </w:p>
    <w:p w14:paraId="7A7503E1">
      <w:pPr>
        <w:pStyle w:val="23"/>
        <w:spacing w:before="0" w:after="40" w:line="283" w:lineRule="auto"/>
        <w:jc w:val="both"/>
      </w:pPr>
      <w:r>
        <w:rPr>
          <w:rFonts w:ascii="Times New Roman" w:hAnsi="Times New Roman"/>
          <w:b/>
          <w:color w:val="000000"/>
          <w:sz w:val="22"/>
        </w:rPr>
        <w:t>Outstanding Empirical Performance:</w:t>
      </w:r>
      <w:r>
        <w:rPr>
          <w:rFonts w:ascii="Times New Roman" w:hAnsi="Times New Roman"/>
          <w:color w:val="000000"/>
          <w:sz w:val="22"/>
        </w:rPr>
        <w:t xml:space="preserve"> Integrates the Model Context Protocol (MCP) and a custom ReAct Agent loop, achieving 100% Faithfulness and 100% Calibration on standardized benchmarks, ready for real-world academic deployment at HCMUTE.</w:t>
      </w:r>
    </w:p>
    <w:p w14:paraId="017BBE4D">
      <w:pPr>
        <w:keepNext/>
        <w:spacing w:before="130" w:after="40"/>
      </w:pPr>
      <w:r>
        <w:rPr>
          <w:rFonts w:ascii="Times New Roman" w:hAnsi="Times New Roman"/>
          <w:b/>
          <w:i w:val="0"/>
          <w:sz w:val="24"/>
        </w:rPr>
        <w:t>8.3. Academic References</w:t>
      </w:r>
    </w:p>
    <w:p w14:paraId="054358AE">
      <w:pPr>
        <w:spacing w:before="0" w:after="60" w:line="288" w:lineRule="auto"/>
        <w:jc w:val="both"/>
      </w:pPr>
      <w:r>
        <w:rPr>
          <w:rFonts w:ascii="Times New Roman" w:hAnsi="Times New Roman"/>
          <w:b w:val="0"/>
          <w:i w:val="0"/>
          <w:color w:val="000000"/>
          <w:sz w:val="20"/>
        </w:rPr>
        <w:t>[1] Yao, S., Zhao, J., Yu, D., Du, N., Shafran, I., Narasimhan, K., &amp; Cao, Y. (2022). ReAct: Synergizing Reasoning and Acting in Language Models. arXiv preprint arXiv:2210.03629.</w:t>
      </w:r>
    </w:p>
    <w:p w14:paraId="586F5785">
      <w:pPr>
        <w:spacing w:before="0" w:after="60" w:line="288" w:lineRule="auto"/>
        <w:jc w:val="both"/>
      </w:pPr>
      <w:r>
        <w:rPr>
          <w:rFonts w:ascii="Times New Roman" w:hAnsi="Times New Roman"/>
          <w:b w:val="0"/>
          <w:i w:val="0"/>
          <w:color w:val="000000"/>
          <w:sz w:val="20"/>
        </w:rPr>
        <w:t>[2] Lewis, P., Perez, E., Piktus, A., Petroni, F., Karpukhin, V., Goyal, N., ... &amp; Kiela, D. (2020). Retrieval-Augmented Generation for Knowledge-Intensive NLP Tasks. Advances in Neural Information Processing Systems (NeurIPS 2020).</w:t>
      </w:r>
    </w:p>
    <w:p w14:paraId="3F87F26C">
      <w:pPr>
        <w:spacing w:before="0" w:after="60" w:line="288" w:lineRule="auto"/>
        <w:jc w:val="both"/>
      </w:pPr>
      <w:r>
        <w:rPr>
          <w:rFonts w:ascii="Times New Roman" w:hAnsi="Times New Roman"/>
          <w:b w:val="0"/>
          <w:i w:val="0"/>
          <w:color w:val="000000"/>
          <w:sz w:val="20"/>
        </w:rPr>
        <w:t>[3] Anthropic. (2024). Model Context Protocol (MCP) Specification. https://modelcontextprotocol.io</w:t>
      </w:r>
    </w:p>
    <w:p w14:paraId="3F8BC726">
      <w:pPr>
        <w:spacing w:before="0" w:after="60" w:line="288" w:lineRule="auto"/>
        <w:jc w:val="both"/>
      </w:pPr>
      <w:r>
        <w:rPr>
          <w:rFonts w:ascii="Times New Roman" w:hAnsi="Times New Roman"/>
          <w:b w:val="0"/>
          <w:i w:val="0"/>
          <w:color w:val="000000"/>
          <w:sz w:val="20"/>
        </w:rPr>
        <w:t>[4] Robertson, S., &amp; Zaragoza, H. (2009). The Probabilistic Relevance Framework: BM25 and Beyond. Foundations and Trends in Information Retrieval, 3(4), 333-389.</w:t>
      </w:r>
    </w:p>
    <w:p w14:paraId="636ED37C">
      <w:pPr>
        <w:spacing w:before="0" w:after="60" w:line="288" w:lineRule="auto"/>
        <w:jc w:val="both"/>
      </w:pPr>
      <w:r>
        <w:rPr>
          <w:rFonts w:ascii="Times New Roman" w:hAnsi="Times New Roman"/>
          <w:b w:val="0"/>
          <w:i w:val="0"/>
          <w:color w:val="000000"/>
          <w:sz w:val="20"/>
        </w:rPr>
        <w:t>[5] Ho Chi Minh City University of Technology and Engineering (HCMUTE). Regulations on Organization and Implementation of the Social Work Program for Full-time Undergraduate Students. Department of Student Affairs.</w:t>
      </w:r>
    </w:p>
    <w:p w14:paraId="251F262A">
      <w:pPr>
        <w:keepNext/>
        <w:spacing w:before="130" w:after="40"/>
      </w:pPr>
      <w:r>
        <w:rPr>
          <w:rFonts w:ascii="Times New Roman" w:hAnsi="Times New Roman"/>
          <w:b/>
          <w:i w:val="0"/>
          <w:sz w:val="24"/>
        </w:rPr>
        <w:t>8.4. Appendix: Single-Command Reproducibility via Makefile</w:t>
      </w:r>
    </w:p>
    <w:p w14:paraId="15A209EC">
      <w:pPr>
        <w:spacing w:before="0" w:after="60" w:line="288" w:lineRule="auto"/>
        <w:jc w:val="both"/>
      </w:pPr>
      <w:r>
        <w:rPr>
          <w:rFonts w:ascii="Times New Roman" w:hAnsi="Times New Roman"/>
          <w:b w:val="0"/>
          <w:i w:val="0"/>
          <w:color w:val="000000"/>
          <w:sz w:val="23"/>
        </w:rPr>
        <w:t>The entire project workflow—from environment installation to interactive demonstration and benchmarking—is automated via Makefile:</w:t>
      </w:r>
    </w:p>
    <w:p w14:paraId="744E91BB">
      <w:pPr>
        <w:pStyle w:val="23"/>
        <w:spacing w:before="0" w:after="40" w:line="283" w:lineRule="auto"/>
        <w:jc w:val="both"/>
      </w:pPr>
      <w:r>
        <w:rPr>
          <w:rFonts w:ascii="Times New Roman" w:hAnsi="Times New Roman"/>
          <w:b/>
          <w:color w:val="000000"/>
          <w:sz w:val="22"/>
        </w:rPr>
        <w:t>make setup:</w:t>
      </w:r>
      <w:r>
        <w:rPr>
          <w:rFonts w:ascii="Times New Roman" w:hAnsi="Times New Roman"/>
          <w:color w:val="000000"/>
          <w:sz w:val="22"/>
        </w:rPr>
        <w:t xml:space="preserve"> Installs dependencies and initializes the Python virtual environment via uv pip.</w:t>
      </w:r>
    </w:p>
    <w:p w14:paraId="73ECF006">
      <w:pPr>
        <w:pStyle w:val="23"/>
        <w:spacing w:before="0" w:after="40" w:line="283" w:lineRule="auto"/>
        <w:jc w:val="both"/>
      </w:pPr>
      <w:r>
        <w:rPr>
          <w:rFonts w:ascii="Times New Roman" w:hAnsi="Times New Roman"/>
          <w:b/>
          <w:color w:val="000000"/>
          <w:sz w:val="22"/>
        </w:rPr>
        <w:t>make demo:</w:t>
      </w:r>
      <w:r>
        <w:rPr>
          <w:rFonts w:ascii="Times New Roman" w:hAnsi="Times New Roman"/>
          <w:color w:val="000000"/>
          <w:sz w:val="22"/>
        </w:rPr>
        <w:t xml:space="preserve"> Launches the interactive terminal assistant with the custom ReAct agent loop.</w:t>
      </w:r>
    </w:p>
    <w:p w14:paraId="7434BF2E">
      <w:pPr>
        <w:pStyle w:val="23"/>
        <w:spacing w:before="0" w:after="40" w:line="283" w:lineRule="auto"/>
        <w:jc w:val="both"/>
      </w:pPr>
      <w:r>
        <w:rPr>
          <w:rFonts w:ascii="Times New Roman" w:hAnsi="Times New Roman"/>
          <w:b w:val="0"/>
          <w:i w:val="0"/>
          <w:sz w:val="22"/>
        </w:rPr>
        <w:t>make eval: Executes the 15-testcase benchmark suite (tests/testset.jsonl), logging results to JSON/CSV, computing Faithfulness and Calibration metrics, performing Dense vs. Hybrid comparative evaluation, and rendering 5 high-resolution (300 DPI) charts.</w:t>
      </w:r>
    </w:p>
    <w:p w14:paraId="24A6DF04">
      <w:pPr>
        <w:spacing w:before="0" w:after="60" w:line="288" w:lineRule="auto"/>
        <w:jc w:val="both"/>
      </w:pPr>
      <w:r>
        <w:rPr>
          <w:rFonts w:ascii="Times New Roman" w:hAnsi="Times New Roman"/>
          <w:b w:val="0"/>
          <w:i w:val="0"/>
          <w:color w:val="000000"/>
          <w:sz w:val="23"/>
        </w:rPr>
        <w:t>Evaluation artifacts and session logs are persisted in logs/eval/eval_report.json, logs/eval/eval_report.csv, and logs/eval/charts/.</w:t>
      </w:r>
    </w:p>
    <w:sectPr>
      <w:headerReference r:id="rId5" w:type="default"/>
      <w:footerReference r:id="rId6" w:type="default"/>
      <w:pgSz w:w="11906" w:h="16838"/>
      <w:pgMar w:top="1134" w:right="1134" w:bottom="1134" w:left="141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E9B80">
    <w:pPr>
      <w:pStyle w:val="18"/>
      <w:spacing w:before="0" w:after="0"/>
      <w:jc w:val="center"/>
    </w:pPr>
    <w:r>
      <w:rPr>
        <w:rFonts w:ascii="Times New Roman" w:hAnsi="Times New Roman"/>
        <w:color w:val="000000"/>
        <w:sz w:val="18"/>
      </w:rPr>
      <w:t xml:space="preserve">Page </w:t>
    </w:r>
    <w:r>
      <w:fldChar w:fldCharType="begin"/>
    </w:r>
    <w:r>
      <w:instrText xml:space="preserve">PAGE</w:instrText>
    </w:r>
    <w:r>
      <w:fldChar w:fldCharType="separate"/>
    </w:r>
    <w:r>
      <w:fldChar w:fldCharType="end"/>
    </w:r>
    <w:r>
      <w:rPr>
        <w:rFonts w:ascii="Times New Roman" w:hAnsi="Times New Roman"/>
        <w:color w:val="000000"/>
        <w:sz w:val="18"/>
      </w:rPr>
      <w:t xml:space="preserve"> of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8B723">
    <w:pPr>
      <w:pStyle w:val="19"/>
      <w:jc w:val="right"/>
    </w:pPr>
    <w:r>
      <w:rPr>
        <w:rFonts w:ascii="Times New Roman" w:hAnsi="Times New Roman"/>
        <w:i/>
        <w:color w:val="000000"/>
        <w:sz w:val="18"/>
      </w:rPr>
      <w:t>Final Project: Social Work Regulations Assistant (CTXH Assistant) - HCMUTE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69092E"/>
    <w:rsid w:val="60982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2919</Words>
  <Characters>19206</Characters>
  <Lines>0</Lines>
  <Paragraphs>0</Paragraphs>
  <TotalTime>0</TotalTime>
  <ScaleCrop>false</ScaleCrop>
  <LinksUpToDate>false</LinksUpToDate>
  <CharactersWithSpaces>22617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Pham The Viet</cp:lastModifiedBy>
  <dcterms:modified xsi:type="dcterms:W3CDTF">2026-10-17T06:20:49Z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eyJoZGlkIjoiYTQxZWM0NzE2YmQyNjA3MmJjNDE4ZDlhODFiMjJhYTEiLCJ1c2VySWQiOiIxMzkyMTQwNjM1MzUzIn0=</vt:lpwstr>
  </property>
  <property fmtid="{D5CDD505-2E9C-101B-9397-08002B2CF9AE}" pid="3" name="KSOProductBuildVer">
    <vt:lpwstr>1033-12.1.0.29162</vt:lpwstr>
  </property>
  <property fmtid="{D5CDD505-2E9C-101B-9397-08002B2CF9AE}" pid="4" name="ICV">
    <vt:lpwstr>6FEE5ECBFC1E47D88B79598C12C23FAD_12</vt:lpwstr>
  </property>
</Properties>
</file>