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w:t>
        <w:br/>
        <w:t>doc_id: 00_Toan_van_Quy_dinh_CTXH</w:t>
        <w:br/>
        <w:t>title: Toàn văn Quy định CTXH</w:t>
        <w:br/>
        <w:t>version: 2024</w:t>
        <w:br/>
        <w:t>owner: Phòng Công tác sinh viên</w:t>
        <w:br/>
        <w:t>---</w:t>
      </w:r>
    </w:p>
    <w:p>
      <w:pPr>
        <w:spacing w:after="80" w:before="80" w:line="280"/>
        <w:jc w:val="both"/>
      </w:pPr>
      <w:r>
        <w:rPr>
          <w:rFonts w:ascii="Times New Roman" w:cs="Times New Roman" w:eastAsia="Times New Roman" w:hAnsi="Times New Roman"/>
          <w:b/>
          <w:bCs/>
          <w:sz w:val="24"/>
          <w:szCs w:val="24"/>
        </w:rPr>
        <w:t xml:space="preserve">QUY ĐỊNH TỔ CHỨC THỰC HIỆN CHƯƠNG TRÌNH CÔNG TÁC XÃ HỘI ĐỐI VỚI SINH VIÊN HỆ CHÍNH QUY (PHIÊN BẢN 2024)</w:t>
      </w:r>
    </w:p>
    <w:p>
      <w:pPr>
        <w:spacing w:after="80" w:before="80" w:line="280"/>
        <w:jc w:val="both"/>
      </w:pPr>
      <w:r>
        <w:rPr>
          <w:rFonts w:ascii="Times New Roman" w:cs="Times New Roman" w:eastAsia="Times New Roman" w:hAnsi="Times New Roman"/>
          <w:b/>
          <w:bCs/>
          <w:sz w:val="24"/>
          <w:szCs w:val="24"/>
        </w:rPr>
        <w:t xml:space="preserve">I. QUY ĐỊNH CHUNG</w:t>
      </w:r>
    </w:p>
    <w:p>
      <w:pPr>
        <w:spacing w:after="80" w:before="80" w:line="280"/>
        <w:jc w:val="both"/>
      </w:pPr>
      <w:r>
        <w:rPr>
          <w:rFonts w:ascii="Times New Roman" w:cs="Times New Roman" w:eastAsia="Times New Roman" w:hAnsi="Times New Roman"/>
          <w:b/>
          <w:bCs/>
          <w:sz w:val="24"/>
          <w:szCs w:val="24"/>
        </w:rPr>
        <w:t xml:space="preserve">1. Căn cứ để xây dựng &amp; thực hiện Chương trình công tác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Nghị quyết Đại hội Đảng toàn quốc lần thứ XIII về đào tạo nguồn nhân lực chất lượng cao gắn với trách nhiệm xã hội và bảo vệ môi trường;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Luật Giáo dục Đại học sửa đổi năm 2018 và Thông tư của Bộ GD&amp;ĐT về chuẩn chương trình đào tạo;</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Đề án Chiến lược Phát triển Đại học Xanh &amp; Bền vững (Green University) giai đoạn 2024 - 2030 của Nhà trường;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Quyết định thành lập và vận hành Hệ thống Quản trị Đại học số **UniPortal 2024**.</w:t>
      </w:r>
    </w:p>
    <w:p>
      <w:pPr>
        <w:spacing w:after="80" w:before="80" w:line="280"/>
        <w:jc w:val="both"/>
      </w:pPr>
      <w:r>
        <w:rPr>
          <w:rFonts w:ascii="Times New Roman" w:cs="Times New Roman" w:eastAsia="Times New Roman" w:hAnsi="Times New Roman"/>
          <w:b/>
          <w:bCs/>
          <w:sz w:val="24"/>
          <w:szCs w:val="24"/>
        </w:rPr>
        <w:t xml:space="preserve">2. Phạm vi điều chỉnh &amp; đối tượng áp dụng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Văn bản này quy định việc tổ chức thực hiện Chương trình công tác xã hội (CTXH) đối với SV hệ chính quy bao gồm nội dung, phương thức tích lũy trên hệ thống số UniPortal và điều kiện xét tốt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Áp dụng đối với tất cả sinh viên hệ chính quy trúng tuyển từ khóa **2024** trở đi.</w:t>
      </w:r>
    </w:p>
    <w:p>
      <w:pPr>
        <w:spacing w:after="80" w:before="80" w:line="280"/>
        <w:jc w:val="both"/>
      </w:pPr>
      <w:r>
        <w:rPr>
          <w:rFonts w:ascii="Times New Roman" w:cs="Times New Roman" w:eastAsia="Times New Roman" w:hAnsi="Times New Roman"/>
          <w:b/>
          <w:bCs/>
          <w:sz w:val="24"/>
          <w:szCs w:val="24"/>
        </w:rPr>
        <w:t xml:space="preserve">3. Mục đích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Thúc đẩy lối sống xanh, tinh thần phụng sự cộng đồng, bảo vệ môi trường sinh thái và mục tiêu phát triển bền vững Net-Zero;</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Rèn luyện năng lực tổ chức, làm việc nhóm, giao tiếp xã hội và đạo đức nghề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Chuẩn hóa hồ sơ hoạt động cộng đồng điện tử (Digital Volunteer Portfolio) tích hợp trong bằng tốt nghiệp số của sinh viên.</w:t>
      </w:r>
    </w:p>
    <w:p>
      <w:pPr>
        <w:spacing w:after="80" w:before="80" w:line="280"/>
        <w:jc w:val="both"/>
      </w:pPr>
      <w:r>
        <w:rPr>
          <w:rFonts w:ascii="Times New Roman" w:cs="Times New Roman" w:eastAsia="Times New Roman" w:hAnsi="Times New Roman"/>
          <w:b/>
          <w:bCs/>
          <w:sz w:val="24"/>
          <w:szCs w:val="24"/>
        </w:rPr>
        <w:t xml:space="preserve">4. Yêu cầu tích lũy ngày CTXH (Chuẩn 2024)</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phải tích lũy số ngày CTXH tối thiểu/khóa đào tạo như sau:</w:t>
      </w:r>
      <w:r>
        <w:rPr>
          <w:rFonts w:ascii="Times New Roman" w:cs="Times New Roman" w:eastAsia="Times New Roman" w:hAnsi="Times New Roman"/>
          <w:sz w:val="24"/>
          <w:szCs w:val="24"/>
        </w:rPr>
        <w:t xml:space="preserve">+ **06 ngày CTXH** đối với các khóa đào tạo từ 4 năm trở lên (tăng so với các năm trước);
+ **03 ngày CTXH** đối với các khóa đào tạo dưới 4 năm;
+ Sinh viên học chương trình song bằng/văn bằng 2 tích lũy tối thiểu **02 ngày CTXH**.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có quyền tích lũy linh hoạt qua từng học kỳ, bắt buộc phải hoàn thành trước thời điểm xét điều kiện làm khóa luận tốt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Trường hợp bất khả kháng về sức khỏe phải có xác nhận của Hội đồng Y khoa cấp tỉnh/thành phố hoặc bệnh viện tuyến Trung ương để hội đồng xem xét hình thức thay thế trực tuyến.</w:t>
      </w:r>
    </w:p>
    <w:p>
      <w:pPr>
        <w:spacing w:after="120" w:before="180"/>
        <w:jc w:val="left"/>
      </w:pPr>
      <w:r>
        <w:rPr>
          <w:rFonts w:ascii="Times New Roman" w:cs="Times New Roman" w:eastAsia="Times New Roman" w:hAnsi="Times New Roman"/>
          <w:b/>
          <w:bCs/>
          <w:color w:val="2563EB"/>
          <w:sz w:val="28"/>
          <w:szCs w:val="28"/>
        </w:rPr>
        <w:t xml:space="preserve">II. NỘI DUNG CÔNG TÁC XÃ HỘI, MÃ HÓA &amp; QUY ĐỔI NGÀY CTXH</w:t>
      </w:r>
    </w:p>
    <w:p>
      <w:pPr>
        <w:spacing w:after="120" w:before="180"/>
        <w:jc w:val="left"/>
      </w:pPr>
      <w:r>
        <w:rPr>
          <w:rFonts w:ascii="Times New Roman" w:cs="Times New Roman" w:eastAsia="Times New Roman" w:hAnsi="Times New Roman"/>
          <w:b/>
          <w:bCs/>
          <w:color w:val="1F2937"/>
          <w:sz w:val="26"/>
          <w:szCs w:val="26"/>
        </w:rPr>
        <w:t xml:space="preserve">1. Danh mục các nội dung CTXH:</w:t>
      </w:r>
    </w:p>
    <w:p>
      <w:pPr>
        <w:spacing w:after="80" w:before="80" w:line="280"/>
        <w:jc w:val="both"/>
      </w:pPr>
      <w:r>
        <w:rPr>
          <w:rFonts w:ascii="Times New Roman" w:cs="Times New Roman" w:eastAsia="Times New Roman" w:hAnsi="Times New Roman"/>
          <w:sz w:val="24"/>
          <w:szCs w:val="24"/>
        </w:rPr>
        <w:t xml:space="preserve">a. Hoạt động tình nguyện chiến dịch: Mùa hè xanh, Xuân tình nguyện, Tiếp sức mùa thi, Đêm hội trăng rằm (ký hiệu 001);
b. Hoạt động công ích tại khuôn viên Nhà trường và cộng đồng đô thị văn minh (ký hiệu 002);
c. Hoạt động bảo vệ môi trường, trồng cây gây rừng, giảm thiểu rác thải nhựa (ký hiệu 003);
d. Hoạt động an sinh xã hội, đền ơn đáp nghĩa, chăm lo gia đình chính sách (ký hiệu 004);
e. Hoạt động phổ cập tri thức, giáo dục kỹ năng cho thanh thiếu nhi khó khăn (ký hiệu 005);
f. Cán bộ Đoàn - Hội, Ban cán sự lớp, Chủ nhiệm CLB đội nhóm được tín nhiệm (ký hiệu 006);
g. Phong trào Chuyển đổi số và hướng dẫn dịch vụ công trực tuyến (ký hiệu 007);
h. </w:t>
      </w:r>
      <w:r>
        <w:rPr>
          <w:rFonts w:ascii="Times New Roman" w:cs="Times New Roman" w:eastAsia="Times New Roman" w:hAnsi="Times New Roman"/>
          <w:b/>
          <w:bCs/>
          <w:sz w:val="24"/>
          <w:szCs w:val="24"/>
        </w:rPr>
        <w:t xml:space="preserve">Dự án Đại học Xanh &amp; Phát triển bền vững Net-Zero (ký hiệu 008 - Mới bổ sung năm 2024)</w:t>
      </w:r>
      <w:r>
        <w:rPr>
          <w:rFonts w:ascii="Times New Roman" w:cs="Times New Roman" w:eastAsia="Times New Roman" w:hAnsi="Times New Roman"/>
          <w:sz w:val="24"/>
          <w:szCs w:val="24"/>
        </w:rPr>
        <w:t xml:space="preserve">;
i. Các chương trình hợp tác tình nguyện quốc tế được Nhà trường phê duyệt.</w:t>
      </w:r>
    </w:p>
    <w:p>
      <w:pPr>
        <w:spacing w:after="120" w:before="240"/>
        <w:jc w:val="center"/>
      </w:pPr>
      <w:r>
        <w:rPr>
          <w:rFonts w:ascii="Times New Roman" w:cs="Times New Roman" w:eastAsia="Times New Roman" w:hAnsi="Times New Roman"/>
          <w:b/>
          <w:bCs/>
          <w:color w:val="1E3A8A"/>
          <w:sz w:val="32"/>
          <w:szCs w:val="32"/>
        </w:rPr>
        <w:t xml:space="preserve">Lưu ý quan trọng:</w:t>
      </w:r>
    </w:p>
    <w:p>
      <w:pPr>
        <w:spacing w:after="80" w:before="80" w:line="280"/>
        <w:jc w:val="both"/>
      </w:pPr>
      <w:r>
        <w:rPr>
          <w:rFonts w:ascii="Times New Roman" w:cs="Times New Roman" w:eastAsia="Times New Roman" w:hAnsi="Times New Roman"/>
          <w:sz w:val="24"/>
          <w:szCs w:val="24"/>
        </w:rPr>
        <w:t xml:space="preserve">✓ Mọi hoạt động phải được đăng ký và phê duyệt trước trên hệ thống </w:t>
      </w:r>
      <w:r>
        <w:rPr>
          <w:rFonts w:ascii="Times New Roman" w:cs="Times New Roman" w:eastAsia="Times New Roman" w:hAnsi="Times New Roman"/>
          <w:b/>
          <w:bCs/>
          <w:sz w:val="24"/>
          <w:szCs w:val="24"/>
        </w:rPr>
        <w:t xml:space="preserve">UniPortal 2024</w:t>
      </w:r>
      <w:r>
        <w:rPr>
          <w:rFonts w:ascii="Times New Roman" w:cs="Times New Roman" w:eastAsia="Times New Roman" w:hAnsi="Times New Roman"/>
          <w:sz w:val="24"/>
          <w:szCs w:val="24"/>
        </w:rPr>
        <w:t xml:space="preserve">.
✓ Hoạt động tự phát không thông qua phê duyệt của Đoàn - Hội hoặc Phòng HSSV không được công nhận.
✓ Các hoạt động có nhận lương/thù lao không thuộc phạm vi tính ngày CTXH.</w:t>
      </w:r>
    </w:p>
    <w:p>
      <w:pPr>
        <w:spacing w:after="120" w:before="180"/>
        <w:jc w:val="left"/>
      </w:pPr>
      <w:r>
        <w:rPr>
          <w:rFonts w:ascii="Times New Roman" w:cs="Times New Roman" w:eastAsia="Times New Roman" w:hAnsi="Times New Roman"/>
          <w:b/>
          <w:bCs/>
          <w:color w:val="1F2937"/>
          <w:sz w:val="26"/>
          <w:szCs w:val="26"/>
        </w:rPr>
        <w:t xml:space="preserve">2. Bảng mã hóa, thang điểm &amp; quy đổi ngày CTXH năm 2024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993"/>
        <w:gridCol w:w="4062"/>
        <w:gridCol w:w="993"/>
        <w:gridCol w:w="993"/>
      </w:tblGrid>
      <w:tr>
        <w:trPr>
          <w:tblHeader/>
        </w:trPr>
        <w:tc>
          <w:tcPr>
            <w:tcW w:type="pct" w:w="110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Lĩnh vực CTXH</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Mã</w:t>
            </w:r>
          </w:p>
        </w:tc>
        <w:tc>
          <w:tcPr>
            <w:tcW w:type="pct" w:w="22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Nội dung &amp; định lượng</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Thang điểm</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Quy đổi ngày CTXH</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Mùa hè xanh</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trọn vẹn chiến dịch địa bàn vùng sâu (01 tháng)</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30→60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3→6</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chiến dịch tại địa bàn trọng điểm thành phố (01 tháng)</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30→50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001103</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Đội hình chuyên nghiệp kỹ thuật, chuyển giao công nghệ (02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25→40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2,5→4</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Hiến máu tình nguyện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001201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Trực tiếp hiến máu tình nguyện (01 lần hiến máu nhân đạo)</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001202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Tổ chức &amp; vận động điểm hiến máu nhân đạo thành công (01 ngày)</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10→15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1→1,5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Xuân tình nguyện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001301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chiến dịch Xuân ấm áp (05 ngày)</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Tiếp sức mùa thi</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001501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Điều phối giao thông, hỗ trợ thí sinh thi tốt nghiệp THPT (01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Đại học Mở / Hướng nghiệp</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001601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Đại sứ tư vấn tuyển sinh và giới thiệu trường tại các tỉnh (01 đợt)</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10→20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Tiếp sức tân sinh viên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001701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Đội hình hỗ trợ tìm trọ, nhập học tân sinh viên khóa 2024 (01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Cứu trợ khẩn cấp</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001801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Trực tiếp tham gia cứu trợ bão lũ, thiên tai (01 đợt)</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Hoạt động Đại học Xanh</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002101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Ngày hội trồng cây, chăm sóc mảng xanh học đường (01 buổi)</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6</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0,6</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002102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Tình nguyện viên điều phối xe đạp công cộng &amp; trạm sạc điện (01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12→18</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1,2→1,8</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Bảo vệ bờ biển &amp; Rừng ngập mặn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003101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Chiến dịch làm sạch bờ biển, phục hồi rừng ngập mặn (03 ngày)</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Tuyên truyền phân loại rác</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003201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Tập huấn phân loại rác tại nguồn cho 50 hộ dân (01 đợt)</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10→15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1→1,5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Đền ơn đáp nghĩa</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004101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Chăm sóc cựu thanh niên xung phong, Bà mẹ VNAH (01 đợt)</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10→15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1→1,5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Xóa mù chữ số cho người già</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005101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Phổ cập kỹ năng lướt web an toàn, phòng chống lừa đảo mạng (01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Lãnh đạo phong trào SV</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006101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Cán bộ Đoàn - Hội cấp trường hoàn thành xuất sắc (01 năm học)</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30→50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006102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Cán bộ Đoàn - Hội cấp khoa hoàn thành xuất sắc (01 năm học)</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006103</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Ban cán sự lớp, chi hội trưởng hoàn thành tốt (01 năm học)</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Hỗ trợ dịch vụ công trực tuyến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007101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Trực hỗ trợ công dân nộp hồ sơ trực tuyến tại bộ phận 1 cửa (01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**Dự án Phát triển bền vững Net-Zero**</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**008101**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dự án kiểm toán rác thải, đo lường dấu chân carbon trường học (01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**008102**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**Sáng lập / điều hành dự án tái chế vật liệu, tuần hoàn rác học đường (01 học kỳ)**</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**30→50**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**3→5**</w:t>
            </w:r>
          </w:p>
        </w:tc>
      </w:tr>
    </w:tbl>
    <w:p>
      <w:pPr>
        <w:spacing w:after="80" w:before="80" w:line="280"/>
        <w:jc w:val="both"/>
      </w:pPr>
      <w:r>
        <w:rPr>
          <w:rFonts w:ascii="Times New Roman" w:cs="Times New Roman" w:eastAsia="Times New Roman" w:hAnsi="Times New Roman"/>
          <w:b/>
          <w:bCs/>
          <w:sz w:val="24"/>
          <w:szCs w:val="24"/>
        </w:rPr>
        <w:t xml:space="preserve">b. Quy định xử lý kỷ luật và trừ ngày CTXH (Áp dụng 2024):</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đăng ký nhưng vắng mặt không lý do hoặc hủy đăng ký muộn dưới 24h: **Bị trừ 1,5 ngày CTXH** và khóa chức năng đăng ký trên UniPortal trong 01 học kỳ kế tiếp.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gian lận điểm danh, nhờ người điểm danh hộ hoặc giả mạo chữ ký xác nhận: Bị hủy bỏ toàn bộ số ngày CTXH đã tích lũy trong năm học và kỷ luật cảnh cáo toàn trường.</w:t>
      </w:r>
    </w:p>
    <w:p>
      <w:pPr>
        <w:spacing w:after="80" w:before="80" w:line="280"/>
        <w:jc w:val="both"/>
      </w:pPr>
      <w:r>
        <w:rPr>
          <w:rFonts w:ascii="Times New Roman" w:cs="Times New Roman" w:eastAsia="Times New Roman" w:hAnsi="Times New Roman"/>
          <w:b/>
          <w:bCs/>
          <w:sz w:val="24"/>
          <w:szCs w:val="24"/>
        </w:rPr>
        <w:t xml:space="preserve">c. Công thức quy đổi điểm xét tốt nghiệp (Năm 2024):</w:t>
      </w:r>
      <w:r>
        <w:rPr>
          <w:rFonts w:ascii="Times New Roman" w:cs="Times New Roman" w:eastAsia="Times New Roman" w:hAnsi="Times New Roman"/>
          <w:sz w:val="24"/>
          <w:szCs w:val="24"/>
        </w:rPr>
        <w:t xml:space="preserve">
Tổng điểm CTXH tích lũy được chuyển đổi sang ngày CTXH như sau:</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Tổng điểm chia cho 10:</w:t>
      </w:r>
      <w:r>
        <w:rPr>
          <w:rFonts w:ascii="Times New Roman" w:cs="Times New Roman" w:eastAsia="Times New Roman" w:hAnsi="Times New Roman"/>
          <w:sz w:val="24"/>
          <w:szCs w:val="24"/>
        </w:rPr>
        <w:t xml:space="preserve">+ Dưới 5 điểm dư: Làm tròn xuống;
+ Từ 5,0 điểm đến dưới 8,0 điểm: Quy đổi thành 0,5 ngày CTXH;
+ Từ 8,0 điểm trở lên: Quy đổi làm tròn thành 1,0 ngày CTXH.</w:t>
      </w:r>
    </w:p>
    <w:p>
      <w:pPr>
        <w:spacing w:after="120" w:before="180"/>
        <w:jc w:val="left"/>
      </w:pPr>
      <w:r>
        <w:rPr>
          <w:rFonts w:ascii="Times New Roman" w:cs="Times New Roman" w:eastAsia="Times New Roman" w:hAnsi="Times New Roman"/>
          <w:b/>
          <w:bCs/>
          <w:color w:val="2563EB"/>
          <w:sz w:val="28"/>
          <w:szCs w:val="28"/>
        </w:rPr>
        <w:t xml:space="preserve">III. QUY TRÌNH TỔ CHỨC &amp; ĐÁNH GIÁ TRÊN HỆ THỐNG UNIPORTAL 2024</w:t>
      </w:r>
    </w:p>
    <w:p>
      <w:pPr>
        <w:spacing w:after="80" w:before="80" w:line="280"/>
        <w:jc w:val="both"/>
      </w:pPr>
      <w:r>
        <w:rPr>
          <w:rFonts w:ascii="Times New Roman" w:cs="Times New Roman" w:eastAsia="Times New Roman" w:hAnsi="Times New Roman"/>
          <w:sz w:val="24"/>
          <w:szCs w:val="24"/>
        </w:rPr>
        <w:t xml:space="preserve">Toàn bộ quy trình được thực hiện trên hệ sinh thái </w:t>
      </w:r>
      <w:r>
        <w:rPr>
          <w:rFonts w:ascii="Times New Roman" w:cs="Times New Roman" w:eastAsia="Times New Roman" w:hAnsi="Times New Roman"/>
          <w:b/>
          <w:bCs/>
          <w:sz w:val="24"/>
          <w:szCs w:val="24"/>
        </w:rPr>
        <w:t xml:space="preserve">UniPortal 2024</w:t>
      </w:r>
      <w:r>
        <w:rPr>
          <w:rFonts w:ascii="Times New Roman" w:cs="Times New Roman" w:eastAsia="Times New Roman" w:hAnsi="Times New Roman"/>
          <w:sz w:val="24"/>
          <w:szCs w:val="24"/>
        </w:rPr>
        <w:t xml:space="preserve">:</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1: Đăng ký kế hoạch hoạt động:**
Các đơn vị nộp tờ trình điện tử trên UniPortal trước ngày 15 hàng tháng để Phòng HSSV phê duyệt hạn mức điểm.</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2: Mở cổng đăng ký:**
Hệ thống tự động thông báo notification đến ứng dụng sinh viên trước ngày diễn ra hoạt động ít nhất 05 ngày.</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3: Điểm danh thời gian thực (Real-time Check-in):**
Sử dụng định danh sinh viên qua mã QR động (Dynamic QR Code) trên UniPortal kết hợp định vị GPS tại điểm diễn ra hoạt động.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4: Đánh giá &amp; Cho điểm trực tuyến:**
Trưởng đơn vị chấm điểm trực tiếp trên phân hệ Quản lý tình nguyện của UniPortal.</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5: Thẩm định hồ sơ:**
Phòng HSSV kiểm duyệt ngẫu nhiên biên bản điện tử và hình ảnh minh chứng.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6: Công bố kết quả:**
Kết quả được công bố trên trang cá nhân của SV trong vòng **05 ngày làm việc** kể từ ngày kết thúc hoạt động (Chuẩn mới 2024).</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7: Khiếu nại trực tuyến:**
Thời hạn khiếu nại là **05 ngày** qua cổng thông tin. Đơn vị phản hồi giải quyết bằng văn bản điện tử trong vòng **03 ngày làm việc**.</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8: Khóa sổ &amp; Xuất chứng nhận điện tử:**
Hệ thống UniPortal tự động đồng bộ kết quả vào Bảng điểm rèn luyện số và Hồ sơ tốt nghiệp sau **10 ngày**.</w:t>
      </w:r>
    </w:p>
    <w:p>
      <w:pPr>
        <w:spacing w:after="120" w:before="180"/>
        <w:jc w:val="left"/>
      </w:pPr>
      <w:r>
        <w:rPr>
          <w:rFonts w:ascii="Times New Roman" w:cs="Times New Roman" w:eastAsia="Times New Roman" w:hAnsi="Times New Roman"/>
          <w:b/>
          <w:bCs/>
          <w:color w:val="2563EB"/>
          <w:sz w:val="28"/>
          <w:szCs w:val="28"/>
        </w:rPr>
        <w:t xml:space="preserve">IV. TRÁCH NHIỆM CỦA CÁC ĐƠN VỊ</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**Phòng Công tác HSSV:** Giám sát toàn diện chỉ số hoạt động cộng đồng trên UniPortal Dashboard, xét duyệt các đề xuất hoạt động mới.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**Đoàn Thanh niên – Hội SV:** Tiên phong tổ chức các dự án tình nguyện sáng tạo, liên kết các đối tác phi chính phủ (NGO) và doanh nghiệp xanh.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**Ban Chủ nhiệm các Khoa:** Đưa tiêu chí CTXH vào đánh giá thi đua sinh viên và bình xét học bổng khuyến khích học tập hàng kỳ.</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**Cố vấn học tập &amp; Ban cán sự lớp:** Theo dõi báo cáo tiến độ tích lũy ngày CTXH trên UniPortal, cảnh báo sinh viên có nguy cơ chậm tiến độ tốt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Chủ động tích lũy đủ **06 ngày CTXH** trước khi bước vào năm học cuối.</w:t>
      </w:r>
    </w:p>
    <w:p>
      <w:pPr>
        <w:spacing w:after="120" w:before="180"/>
        <w:jc w:val="left"/>
      </w:pPr>
      <w:r>
        <w:rPr>
          <w:rFonts w:ascii="Times New Roman" w:cs="Times New Roman" w:eastAsia="Times New Roman" w:hAnsi="Times New Roman"/>
          <w:b/>
          <w:bCs/>
          <w:color w:val="2563EB"/>
          <w:sz w:val="28"/>
          <w:szCs w:val="28"/>
        </w:rPr>
        <w:t xml:space="preserve">V. KINH PHÍ VÀ CƠ CHẾ TÀI TRỢ</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**Cơ chế kinh phí năm 2024:**</w:t>
      </w:r>
      <w:r>
        <w:rPr>
          <w:rFonts w:ascii="Times New Roman" w:cs="Times New Roman" w:eastAsia="Times New Roman" w:hAnsi="Times New Roman"/>
          <w:sz w:val="24"/>
          <w:szCs w:val="24"/>
        </w:rPr>
        <w:t xml:space="preserve">- Quỹ Phát triển Thanh niên và Công tác Xã hội của Trường;
- Quỹ Ươm mầm Dự án Xanh (do các doanh nghiệp ESG tài trợ);
- Các khoản tài trợ hợp pháp từ các tổ chức xã hội trong và ngoài nước.</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 định chi tiêu:**
Phòng Kế hoạch - Tài chính thực hiện giải ngân và thanh quyết toán không dùng tiền mặt qua tài khoản số UniPortal của ban tổ chức.</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QUY ĐỊNH CÔNG TÁC XÃ HỘI - CTXH_2024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Phòng Công tác sinh viên</dc:creator>
  <cp:lastModifiedBy>Un-named</cp:lastModifiedBy>
  <cp:revision>1</cp:revision>
  <dcterms:created xsi:type="dcterms:W3CDTF">2026-10-16T09:03:38.839Z</dcterms:created>
  <dcterms:modified xsi:type="dcterms:W3CDTF">2026-10-16T09:03:38.840Z</dcterms:modified>
  <dc:title>Toàn văn Quy định CTXH</dc:title>
</cp:coreProperties>
</file>

<file path=docProps/custom.xml><?xml version="1.0" encoding="utf-8"?>
<Properties xmlns="http://schemas.openxmlformats.org/officeDocument/2006/custom-properties" xmlns:vt="http://schemas.openxmlformats.org/officeDocument/2006/docPropsVTypes"/>
</file>