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Times New Roman" w:cs="Times New Roman" w:eastAsia="Times New Roman" w:hAnsi="Times New Roman"/>
          <w:b/>
          <w:bCs/>
          <w:color w:val="1E3A8A"/>
          <w:sz w:val="32"/>
          <w:szCs w:val="32"/>
        </w:rPr>
        <w:t xml:space="preserve">QUY ĐỊNH CÔNG TÁC XÃ HỘI SINH VIÊN</w:t>
      </w:r>
    </w:p>
    <w:p>
      <w:pPr>
        <w:spacing w:after="120" w:before="180"/>
        <w:jc w:val="left"/>
      </w:pPr>
      <w:r>
        <w:rPr>
          <w:rFonts w:ascii="Times New Roman" w:cs="Times New Roman" w:eastAsia="Times New Roman" w:hAnsi="Times New Roman"/>
          <w:b/>
          <w:bCs/>
          <w:color w:val="2563EB"/>
          <w:sz w:val="28"/>
          <w:szCs w:val="28"/>
        </w:rPr>
        <w:t xml:space="preserve">I. QUY ĐỊNH CHUNG</w:t>
      </w:r>
    </w:p>
    <w:p>
      <w:pPr>
        <w:spacing w:after="80" w:before="80" w:line="280"/>
        <w:jc w:val="both"/>
      </w:pPr>
      <w:r>
        <w:rPr>
          <w:rFonts w:ascii="Times New Roman" w:cs="Times New Roman" w:eastAsia="Times New Roman" w:hAnsi="Times New Roman"/>
          <w:b/>
          <w:bCs/>
          <w:sz w:val="24"/>
          <w:szCs w:val="24"/>
        </w:rPr>
        <w:t xml:space="preserve">1. Căn cứ để xây dựng &amp; thực hiện Chương trình công tác xã hội.</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Nghị quyết Đại hội Đảng toàn quốc lần thứ XIII về đào tạo nguồn nhân lực chất lượng cao gắn với trách nhiệm xã hội và bảo vệ môi trường;</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Luật Giáo dục Đại học sửa đổi năm 2018 và Thông tư của Bộ GD&amp;ĐT về chuẩn chương trình đào tạo;</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Đề án Chiến lược Phát triển Đại học Xanh &amp; Bền vững (Green University) giai đoạn 2024 - 2030 của Nhà trường;</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Quyết định thành lập và vận hành Hệ thống Quản trị Đại học số **UniPortal 2024**.</w:t>
      </w:r>
    </w:p>
    <w:p>
      <w:pPr>
        <w:spacing w:after="80" w:before="80" w:line="280"/>
        <w:jc w:val="both"/>
      </w:pPr>
      <w:r>
        <w:rPr>
          <w:rFonts w:ascii="Times New Roman" w:cs="Times New Roman" w:eastAsia="Times New Roman" w:hAnsi="Times New Roman"/>
          <w:b/>
          <w:bCs/>
          <w:sz w:val="24"/>
          <w:szCs w:val="24"/>
        </w:rPr>
        <w:t xml:space="preserve">2. Phạm vi điều chỉnh &amp; đối tượng áp dụng</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Văn bản này quy định việc tổ chức thực hiện Chương trình công tác xã hội (CTXH) đối với SV hệ chính quy bao gồm nội dung, phương thức tích lũy trên hệ thống số UniPortal và điều kiện xét tốt nghiệp;</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Áp dụng đối với tất cả sinh viên hệ chính quy trúng tuyển từ khóa **2024** trở đi.</w:t>
      </w:r>
    </w:p>
    <w:p>
      <w:pPr>
        <w:spacing w:after="80" w:before="80" w:line="280"/>
        <w:jc w:val="both"/>
      </w:pPr>
      <w:r>
        <w:rPr>
          <w:rFonts w:ascii="Times New Roman" w:cs="Times New Roman" w:eastAsia="Times New Roman" w:hAnsi="Times New Roman"/>
          <w:b/>
          <w:bCs/>
          <w:sz w:val="24"/>
          <w:szCs w:val="24"/>
        </w:rPr>
        <w:t xml:space="preserve">3. Mục đích</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Thúc đẩy lối sống xanh, tinh thần phụng sự cộng đồng, bảo vệ môi trường sinh thái và mục tiêu phát triển bền vững Net-Zero;</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Rèn luyện năng lực tổ chức, làm việc nhóm, giao tiếp xã hội và đạo đức nghề nghiệp;</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Chuẩn hóa hồ sơ hoạt động cộng đồng điện tử (Digital Volunteer Portfolio) tích hợp trong bằng tốt nghiệp số của sinh viên.</w:t>
      </w:r>
    </w:p>
    <w:p>
      <w:pPr>
        <w:spacing w:after="80" w:before="80" w:line="280"/>
        <w:jc w:val="both"/>
      </w:pPr>
      <w:r>
        <w:rPr>
          <w:rFonts w:ascii="Times New Roman" w:cs="Times New Roman" w:eastAsia="Times New Roman" w:hAnsi="Times New Roman"/>
          <w:b/>
          <w:bCs/>
          <w:sz w:val="24"/>
          <w:szCs w:val="24"/>
        </w:rPr>
        <w:t xml:space="preserve">4. Yêu cầu tích lũy ngày CTXH (Chuẩn 2024)</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Sinh viên phải tích lũy số ngày CTXH tối thiểu/khóa đào tạo như sau:</w:t>
      </w:r>
      <w:r>
        <w:rPr>
          <w:rFonts w:ascii="Times New Roman" w:cs="Times New Roman" w:eastAsia="Times New Roman" w:hAnsi="Times New Roman"/>
          <w:sz w:val="24"/>
          <w:szCs w:val="24"/>
        </w:rPr>
        <w:t xml:space="preserve">+ **06 ngày CTXH** đối với các khóa đào tạo từ 4 năm trở lên (tăng so với các năm trước);
+ **03 ngày CTXH** đối với các khóa đào tạo dưới 4 năm;
+ Sinh viên học chương trình song bằng/văn bằng 2 tích lũy tối thiểu **02 ngày CTXH**.</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Sinh viên có quyền tích lũy linh hoạt qua từng học kỳ, bắt buộc phải hoàn thành trước thời điểm xét điều kiện làm khóa luận tốt nghiệp;</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Trường hợp bất khả kháng về sức khỏe phải có xác nhận của Hội đồng Y khoa cấp tỉnh/thành phố hoặc bệnh viện tuyến Trung ương để hội đồng xem xét hình thức thay thế trực tuyến.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18"/>
        <w:szCs w:val="18"/>
      </w:rPr>
      <w:t xml:space="preserve">Trang </w:t>
    </w:r>
    <w:r>
      <w:rPr>
        <w:rFonts w:ascii="Times New Roman" w:cs="Times New Roman" w:eastAsia="Times New Roman" w:hAnsi="Times New Roman"/>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4748B"/>
        <w:sz w:val="18"/>
        <w:szCs w:val="18"/>
      </w:rPr>
      <w:t xml:space="preserve">QUY ĐỊNH CÔNG TÁC XÃ HỘI - CTXH_2024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2026-10-16T09:03:29.303Z</dcterms:created>
  <dcterms:modified xsi:type="dcterms:W3CDTF">2026-10-16T09:03:29.303Z</dcterms:modified>
</cp:coreProperties>
</file>

<file path=docProps/custom.xml><?xml version="1.0" encoding="utf-8"?>
<Properties xmlns="http://schemas.openxmlformats.org/officeDocument/2006/custom-properties" xmlns:vt="http://schemas.openxmlformats.org/officeDocument/2006/docPropsVTypes"/>
</file>