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1E3A8A"/>
          <w:sz w:val="32"/>
          <w:szCs w:val="32"/>
        </w:rPr>
        <w:t xml:space="preserve">QUY ĐỊNH CÔNG TÁC XÃ HỘI SINH VIÊN</w:t>
      </w:r>
    </w:p>
    <w:p>
      <w:pPr>
        <w:spacing w:after="120" w:before="180"/>
        <w:jc w:val="left"/>
      </w:pPr>
      <w:r>
        <w:rPr>
          <w:rFonts w:ascii="Times New Roman" w:cs="Times New Roman" w:eastAsia="Times New Roman" w:hAnsi="Times New Roman"/>
          <w:b/>
          <w:bCs/>
          <w:color w:val="2563EB"/>
          <w:sz w:val="28"/>
          <w:szCs w:val="28"/>
        </w:rPr>
        <w:t xml:space="preserve">V. KINH PHÍ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**Nguồn kinh phí hoạt động:**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- Ngân sách hỗ trợ từ Nhà trường hàng năm;
- Quỹ hoạt động phong trào Đoàn - Hội;
- Nguồn xã hội hóa, tài trợ từ doanh nghiệp và địa phương đối tác;
- Sự đóng góp tự nguyện của sinh viên (nếu có dự toán được duyệt).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**Quản lý tài chính:**
Phòng Kế hoạch - Tài chính hướng dẫn thanh quyết toán theo đúng quy chế chi tiêu nội bộ năm 2023 của Nhà trường.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64748B"/>
        <w:sz w:val="18"/>
        <w:szCs w:val="18"/>
      </w:rPr>
      <w:t xml:space="preserve">QUY ĐỊNH CÔNG TÁC XÃ HỘI - CTXH_2023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2026-10-16T09:03:25.148Z</dcterms:created>
  <dcterms:modified xsi:type="dcterms:W3CDTF">2026-10-16T09:03:25.148Z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