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32"/>
          <w:szCs w:val="32"/>
        </w:rPr>
        <w:t xml:space="preserve">QUY ĐỊNH CÔNG TÁC XÃ HỘI SINH VIÊN</w:t>
      </w:r>
    </w:p>
    <w:p>
      <w:pPr>
        <w:spacing w:after="120" w:before="180"/>
        <w:jc w:val="left"/>
      </w:pPr>
      <w:r>
        <w:rPr>
          <w:rFonts w:ascii="Times New Roman" w:cs="Times New Roman" w:eastAsia="Times New Roman" w:hAnsi="Times New Roman"/>
          <w:b/>
          <w:bCs/>
          <w:color w:val="2563EB"/>
          <w:sz w:val="28"/>
          <w:szCs w:val="28"/>
        </w:rPr>
        <w:t xml:space="preserve">IV. TRÁCH NHIỆM CỦA CÁC ĐƠN VỊ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**Phòng/Khoa/TT, Đoàn – Hội:** Tổ chức chu đáo, bảo đảm an toàn cho SV trong suốt thời gian tham gia hoạt động tình nguyện.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**Phòng Công tác HSSV:** Quản lý cơ sở dữ liệu số, thẩm định kết quả và tổng hợp danh sách đủ điều kiện tốt nghiệp.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**Khoa/Bộ môn:** Khuyến khích giảng viên đồng hành hướng dẫn các hoạt động chuyên môn, chuyển đổi số.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**Đoàn Thanh niên – Hội SV trường:** Đầu mối tổ chức các chiến dịch lớn (Mùa hè xanh, Xuân tình nguyện, Chuyển đổi số).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**Ban đại diện lớp:** Nhắc nhở, theo dõi tiến độ tích lũy ngày CTXH của các thành viên trong lớp hàng kỳ.</w:t>
      </w:r>
    </w:p>
    <w:p>
      <w:pPr>
        <w:pStyle w:val="ListParagraph"/>
        <w:numPr>
          <w:ilvl w:val="0"/>
          <w:numId w:val="1"/>
        </w:numPr>
        <w:spacing w:after="40" w:before="40" w:line="2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**Sinh viên:** Tự giác đăng ký, hoàn thành đủ **05 ngày CTXH** trước học kỳ cuối của khóa học để không bị hoãn xét tốt nghiệp.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4748B"/>
        <w:sz w:val="18"/>
        <w:szCs w:val="18"/>
      </w:rPr>
      <w:t xml:space="preserve">QUY ĐỊNH CÔNG TÁC XÃ HỘI - CTXH_2023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2026-10-16T09:03:23.068Z</dcterms:created>
  <dcterms:modified xsi:type="dcterms:W3CDTF">2026-10-16T09:03:23.068Z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