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QUY ĐỊNH CÔNG TÁC XÃ HỘI SINH VIÊN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8"/>
          <w:szCs w:val="28"/>
        </w:rPr>
        <w:t xml:space="preserve">V. KINH PHÍ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**Cơ cấu nguồn kinh phí năm 2025:**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 Quỹ Trách nhiệm Xã hội số của Nhà trường;
- Quỹ Tài trợ Đổi mới Sáng tạo Tác động Xã hội (Social Impact Funds);
- Nguồn liên kết, tài trợ từ các tập đoàn công nghệ và tổ chức phi chính phủ quốc tế.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**Quy chế giải ngân:**
Toàn bộ quy trình đề xuất, duyệt chi và quyết toán thực hiện tự động qua Cổng Kế toán điện tử SmartFinance 2025.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QUY ĐỊNH CÔNG TÁC XÃ HỘI - CTXH_2025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2026-10-16T09:03:48.365Z</dcterms:created>
  <dcterms:modified xsi:type="dcterms:W3CDTF">2026-10-16T09:03:48.365Z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