
<file path=[Content_Types].xml><?xml version="1.0" encoding="utf-8"?>
<Types xmlns="http://schemas.openxmlformats.org/package/2006/content-types">
  <Default ContentType="image/png" Extension="png"/>
  <Default ContentType="image/png" Extension="undefined"/>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28"/>
          <w:szCs w:val="28"/>
        </w:rPr>
        <w:t xml:space="preserve">AGRIPRICE: A MULTIVARIATE TIME SERIES MODEL FOR RICE PRICE</w:t>
      </w:r>
    </w:p>
    <w:p>
      <w:pPr>
        <w:spacing w:after="300"/>
        <w:jc w:val="center"/>
      </w:pPr>
      <w:r>
        <w:rPr>
          <w:sz w:val="22"/>
          <w:szCs w:val="22"/>
        </w:rPr>
        <w:t xml:space="preserve">A Capstone Project Presented to the College of Computer Studies, Our Lady of Fatima University – Quezon City, in Partial Fulfillment of the Requirements for the Degree of Bachelor of Science in Information Technology</w:t>
      </w:r>
    </w:p>
    <w:p>
      <w:pPr>
        <w:spacing w:after="100"/>
        <w:jc w:val="center"/>
      </w:pPr>
      <w:r>
        <w:rPr>
          <w:sz w:val="22"/>
          <w:szCs w:val="22"/>
        </w:rPr>
        <w:t xml:space="preserve">Digas, Jimuelson J. · Kahayon, Rainier C. · Morido, Mike Andrew A. · Zurbito, Cholo James M.</w:t>
      </w:r>
    </w:p>
    <w:p>
      <w:pPr>
        <w:spacing w:after="100"/>
        <w:jc w:val="center"/>
      </w:pPr>
      <w:r>
        <w:rPr>
          <w:sz w:val="22"/>
          <w:szCs w:val="22"/>
        </w:rPr>
        <w:t xml:space="preserve">May 2026</w:t>
      </w:r>
    </w:p>
    <w:p>
      <w:pPr>
        <w:spacing w:after="200" w:before="100"/>
      </w:pPr>
      <w:r>
        <w:rPr>
          <w:b/>
          <w:bCs/>
          <w:color w:val="C00000"/>
          <w:sz w:val="22"/>
          <w:szCs w:val="22"/>
        </w:rPr>
        <w:t xml:space="preserve">[REVISION NOTE — Revised draft — implements panel feedback from Dr. Calim's review. Items still requiring team input are flagged in red throughout.]</w:t>
      </w:r>
    </w:p>
    <w:p>
      <w:pPr>
        <w:pageBreakBefore/>
        <w:spacing w:after="300" w:before="500"/>
        <w:jc w:val="center"/>
      </w:pPr>
      <w:r>
        <w:rPr>
          <w:b/>
          <w:bCs/>
          <w:sz w:val="28"/>
          <w:szCs w:val="28"/>
        </w:rPr>
        <w:t xml:space="preserve">CHAPTER 1 – INTRODUCTION</w:t>
      </w:r>
    </w:p>
    <w:p>
      <w:pPr>
        <w:spacing w:after="200" w:line="360"/>
        <w:jc w:val="both"/>
      </w:pPr>
      <w:r>
        <w:rPr>
          <w:sz w:val="24"/>
          <w:szCs w:val="24"/>
        </w:rPr>
        <w:t xml:space="preserve">The problem and its background refer to the context and description of an issue or challenge that requires attention or investigation. It sets the stage for understanding the problem's significance, its underlying causes, and the reasons why it needs to be addressed.</w:t>
      </w:r>
    </w:p>
    <w:p>
      <w:pPr>
        <w:spacing w:after="150" w:before="300"/>
      </w:pPr>
      <w:r>
        <w:rPr>
          <w:b/>
          <w:bCs/>
          <w:sz w:val="24"/>
          <w:szCs w:val="24"/>
        </w:rPr>
        <w:t xml:space="preserve">Background of the Study</w:t>
      </w:r>
    </w:p>
    <w:p>
      <w:pPr>
        <w:spacing w:after="200" w:line="360"/>
        <w:ind w:firstLine="720"/>
        <w:jc w:val="both"/>
      </w:pPr>
      <w:r>
        <w:rPr>
          <w:sz w:val="24"/>
          <w:szCs w:val="24"/>
        </w:rPr>
        <w:t xml:space="preserve">The global agricultural market is currently experiencing severe price instability. Rice is a primary target of this volatility (World Bank, 2024). It serves as the main source of daily nutrition for more than half of the human population, making it a critical crop for achieving global food security (International Rice Research Institute, 2026). Because it is a basic global need, maintaining a stable supply and affordable price is highly necessary. However, achieving this stability is becoming very difficult due to drastic changes in the global climate. Extreme weather events like the El Niño phenomenon heavily damage agricultural lands across major producing continents. This massive crop damage forces global food prices to rise and makes it harder for communities around the world to afford their daily meals (World Economic Forum, 2023).</w:t>
      </w:r>
    </w:p>
    <w:p>
      <w:pPr>
        <w:spacing w:after="200" w:line="360"/>
        <w:ind w:firstLine="720"/>
        <w:jc w:val="both"/>
      </w:pPr>
      <w:r>
        <w:rPr>
          <w:sz w:val="24"/>
          <w:szCs w:val="24"/>
        </w:rPr>
        <w:t xml:space="preserve">Aside from weather conditions, international trade policies also cause massive and sudden changes in global rice prices (Glauber &amp; Mamun, 2024). When major producing countries decide to stop selling to other nations, the entire world market suffers from a sudden shortage. Specifically, the Food and Agriculture Organization reported that global rice prices reached a fifteen-year high during the latter part of 2023 (Food and Agriculture Organization, 2023). This sudden price spike happened because the largest exporting country in the world applied strict trade bans to protect its own local food supply. These international trade restrictions immediately disrupted the global supply chain and created deep economic uncertainty among nations that depend heavily on imported food (Glauber &amp; Mamun, 2024).</w:t>
      </w:r>
    </w:p>
    <w:p>
      <w:pPr>
        <w:spacing w:after="200" w:line="360"/>
        <w:ind w:firstLine="720"/>
        <w:jc w:val="both"/>
      </w:pPr>
      <w:r>
        <w:rPr>
          <w:sz w:val="24"/>
          <w:szCs w:val="24"/>
        </w:rPr>
        <w:t xml:space="preserve">Furthermore, global rice pricing is heavily dictated by natural farming seasons and global finance. Rice production follows strict seasonal harvest cycles. During global lean months before major harvests begin, the international supply naturally drops and causes prices to peak temporarily (United States Department of Agriculture, 2024). Alongside these natural cycles, global finance plays a massive role. Because international agricultural trade is priced using the US dollar, changes in global currency exchange rates severely affect how much countries pay for food. When the dollar becomes too strong, developing nations suffer from massive imported inflation because their local money loses its buying power in the global market (World Bank, 2023).</w:t>
      </w:r>
    </w:p>
    <w:p>
      <w:pPr>
        <w:spacing w:after="200" w:line="360"/>
        <w:ind w:firstLine="720"/>
        <w:jc w:val="both"/>
      </w:pPr>
      <w:r>
        <w:rPr>
          <w:sz w:val="24"/>
          <w:szCs w:val="24"/>
        </w:rPr>
        <w:t xml:space="preserve">Finally, the physical cost of moving goods worsens this problem. International shipping relies on fuel and complex logistics. When global tensions happen, ships take longer routes, which drastically increases fuel consumption and transportation costs (United Nations Conference on Trade and Development, 2024). Despite knowing all these factors, a critical research gap exists in global agricultural monitoring. Most international organizations only provide retrospective data, meaning they publish reports only after the prices have already increased. Traditional global systems struggle to process multiple factors like weather, currency, and shipping into a single predictive tool (Cevher et al., 2023). Because of these worldwide challenges, developing nations face severe local price fluctuations without early warning. This creates an urgent need to build targeted predictive systems to protect domestic buyers, bringing the global crisis down to a national level.</w:t>
      </w:r>
    </w:p>
    <w:p>
      <w:pPr>
        <w:spacing w:after="150" w:before="300"/>
      </w:pPr>
      <w:r>
        <w:rPr>
          <w:b/>
          <w:bCs/>
          <w:sz w:val="24"/>
          <w:szCs w:val="24"/>
        </w:rPr>
        <w:t xml:space="preserve">Project Context</w:t>
      </w:r>
    </w:p>
    <w:p>
      <w:pPr>
        <w:spacing w:after="200" w:line="360"/>
        <w:ind w:firstLine="720"/>
        <w:jc w:val="both"/>
      </w:pPr>
      <w:r>
        <w:rPr>
          <w:sz w:val="24"/>
          <w:szCs w:val="24"/>
        </w:rPr>
        <w:t xml:space="preserve">In the Philippines, agricultural price volatility is still a major problem, especially in the National Capital Region (NCR) (Reyes et al., 2024). As the country's premier urban hub, NCR's food supply chain is uniquely dependent on a complex influx of both provincial harvests and imported shipments (Philippine Statistics Authority, 2025). According to The Borgen Project's 2025 report, the country saw a tremendous rise in commercial rice prices in early 2024, with rice inflation reaching 24.4%, the highest level in 15 years. This volatility affects both regular and premium grades, illustrating the severe vulnerability of millions of urban customers and micro-retailers across Metro Manila to sudden "price shocks" (Montaño, 2025).</w:t>
      </w:r>
    </w:p>
    <w:p>
      <w:pPr>
        <w:spacing w:after="200" w:line="360"/>
        <w:ind w:firstLine="720"/>
        <w:jc w:val="both"/>
      </w:pPr>
      <w:r>
        <w:rPr>
          <w:sz w:val="24"/>
          <w:szCs w:val="24"/>
        </w:rPr>
        <w:t xml:space="preserve">While existing government bulletins provide essential historical data, studies suggest that these tools are primarily designed for retrospective reporting rather than proactive forecasting (Reyes et al., 2024). Furthermore, traditional univariate models often struggle to capture the complex, non-linear relationships between retail prices and external economic 'shifters,' such as diesel prices and exchange rates, which can account for a significant portion of the total retail cost (Montaño, 2025; Polat et al., 2024). This study aims to address this gap by integrating these multivariate factors into an LSTM-based framework to provide a more comprehensive outlook for urban consumers. Rather than claiming to perfectly predict the future, this study employs LSTM's specialized "gating mechanisms" to better understand long-term historical trends amidst the "noise" of a volatile market. This algorithm is chosen specifically for its ability to process the complicated, non-linear relationships between fuel costs, currency shifts, and rice prices, serving as a technical foundation for more informed decision-making (Qin et al., 2025).</w:t>
      </w:r>
    </w:p>
    <w:p>
      <w:pPr>
        <w:spacing w:after="200" w:line="360"/>
        <w:ind w:firstLine="720"/>
        <w:jc w:val="both"/>
      </w:pPr>
      <w:r>
        <w:rPr>
          <w:sz w:val="24"/>
          <w:szCs w:val="24"/>
        </w:rPr>
        <w:t xml:space="preserve">Building on this technical framework, the researchers present AgriPrice: A Multivariate Time Series Forecasting Model for Rice Prices. The system will provide a 48–72 hour forecast for eight types of rice to help the NCR community. AgriPrice aims to support "lead-time awareness," operationally defined as the actionable cognitive window afforded to stakeholders prior to an impending market adjustment. This system uses a combination of automated DA-AMAS PDF price-table extraction and Application Programming Interface (API) data integration to generate a critical 2 to 3 day buffer zone.</w:t>
      </w:r>
    </w:p>
    <w:p>
      <w:pPr>
        <w:spacing w:after="200" w:before="100"/>
      </w:pPr>
      <w:r>
        <w:rPr>
          <w:b/>
          <w:bCs/>
          <w:color w:val="C00000"/>
          <w:sz w:val="22"/>
          <w:szCs w:val="22"/>
        </w:rPr>
        <w:t xml:space="preserve">[REVISION NOTE — terminology corrected — DA-AMAS retrieval is now consistently described as PDF price-table extraction (not "web scraping"), since DA-AMAS publishes as unformatted PDFs, not scrapeable HTML. "API integration" language is reserved for the USD-PHP exchange rate source. Applied throughout the document.]</w:t>
      </w:r>
    </w:p>
    <w:p>
      <w:pPr>
        <w:spacing w:after="200" w:line="360"/>
        <w:ind w:firstLine="720"/>
        <w:jc w:val="both"/>
      </w:pPr>
      <w:r>
        <w:rPr>
          <w:sz w:val="24"/>
          <w:szCs w:val="24"/>
        </w:rPr>
        <w:t xml:space="preserve">In agricultural economics, this latency mitigation allows households to allocate their purchasing power more effectively by adjusting their food budgets in anticipation of a price rise, rather than having to absorb the shock at the point of sale. Local merchants can also leverage data-driven insights to recalibrate safety stock and reorder points so they don't get squeezed on profit margins when input costs spike unexpectedly at the same time. The ultimate goal of this study is to be able to harness technology to convert traditional retroactive market data into a proactive utility that will help urban families sustain their daily food security during times of economic volatility.</w:t>
      </w:r>
    </w:p>
    <w:p>
      <w:pPr>
        <w:spacing w:after="150" w:before="300"/>
      </w:pPr>
      <w:r>
        <w:rPr>
          <w:b/>
          <w:bCs/>
          <w:sz w:val="24"/>
          <w:szCs w:val="24"/>
        </w:rPr>
        <w:t xml:space="preserve">Purpose and Description</w:t>
      </w:r>
    </w:p>
    <w:p>
      <w:pPr>
        <w:spacing w:after="200" w:line="360"/>
        <w:ind w:firstLine="720"/>
        <w:jc w:val="both"/>
      </w:pPr>
      <w:r>
        <w:rPr>
          <w:sz w:val="24"/>
          <w:szCs w:val="24"/>
        </w:rPr>
        <w:t xml:space="preserve">The primary purpose of this study is to develop the AgriPrice Forecasting System, engineered to assist urban households and local vendors across the NCR in anticipating trends in the prevailing retail prices of essential commercial rice. The system has the following core technical capabilities: [1] it can automatically retrieve daily retail price points of local and imported rice from DA-AMAS through automated PDF price-table extraction, alongside live US Dollar to Philippine Peso exchange rates via direct API polling; [2] it incorporates a data processing engine that integrates weekly diesel pump prices and agricultural seasonality timelines to map multi-commodity cost dependencies; [3] it utilizes a multivariate LSTM network algorithm to perform time-series analysis and decode complex, non-linear market patterns driven by these economic shifts; and [4] it provides a web-based dashboard, optimized for standard desktop and mobile browsers, that delivers a highly visible two to three day price forecast for eight categories of commercial rice.</w:t>
      </w:r>
    </w:p>
    <w:p>
      <w:pPr>
        <w:spacing w:after="200" w:before="100"/>
      </w:pPr>
      <w:r>
        <w:rPr>
          <w:b/>
          <w:bCs/>
          <w:color w:val="C00000"/>
          <w:sz w:val="22"/>
          <w:szCs w:val="22"/>
        </w:rPr>
        <w:t xml:space="preserve">[REVISION NOTE — consistency fix — the draft previously described the dashboard as desktop-only here but referenced "desktop and mobile browsers" later in the Conceptual Framework narrative. The dashboard is responsive, so it is now stated as supporting desktop and mobile browsers throughout, consistent with scoped Objective 6.4 below.]</w:t>
      </w:r>
    </w:p>
    <w:p>
      <w:pPr>
        <w:spacing w:after="200" w:line="360"/>
        <w:ind w:firstLine="720"/>
        <w:jc w:val="both"/>
      </w:pPr>
      <w:r>
        <w:rPr>
          <w:sz w:val="24"/>
          <w:szCs w:val="24"/>
        </w:rPr>
        <w:t xml:space="preserve">The system architecture is therefore intentionally partitioned into two separate views to effectively provide these advanced computational capabilities to its various stakeholder groups without introducing operational or technical complexity. The backend framework acts as an admin panel, especially crafted for detailed architecture monitoring, system maintenance, and data auditing by IT professionals and institutional handlers. By contrast, the public-facing platform is designed for general viewing only, transforming granular time-series forecasts and algorithmic outputs into a very simplified user dashboard.</w:t>
      </w:r>
    </w:p>
    <w:p>
      <w:pPr>
        <w:spacing w:after="200" w:line="360"/>
        <w:ind w:firstLine="720"/>
        <w:jc w:val="both"/>
      </w:pPr>
      <w:r>
        <w:rPr>
          <w:sz w:val="24"/>
          <w:szCs w:val="24"/>
        </w:rPr>
        <w:t xml:space="preserve">Once the system is deployed in the community, it will provide benefits to the following individuals:</w:t>
      </w:r>
    </w:p>
    <w:p>
      <w:pPr>
        <w:spacing w:after="100" w:before="200"/>
      </w:pPr>
      <w:r>
        <w:rPr>
          <w:b/>
          <w:bCs/>
          <w:i/>
          <w:iCs/>
          <w:sz w:val="24"/>
          <w:szCs w:val="24"/>
        </w:rPr>
        <w:t xml:space="preserve">Households and Local Vendors.</w:t>
      </w:r>
    </w:p>
    <w:p>
      <w:pPr>
        <w:spacing w:after="200" w:line="360"/>
        <w:ind w:firstLine="720"/>
        <w:jc w:val="both"/>
      </w:pPr>
      <w:r>
        <w:rPr>
          <w:sz w:val="24"/>
          <w:szCs w:val="24"/>
        </w:rPr>
        <w:t xml:space="preserve">This study will benefit them by providing early warnings of impending price changes via a simplified frontend dashboard, resulting in improved market budgeting and localized food security. This operational window theoretically contributes to lower household and business expenses by allowing families and small-scale merchants to plan better financial strategies and make informed purchases of essential commercial rice varieties before input shocks reach retail points.</w:t>
      </w:r>
    </w:p>
    <w:p>
      <w:pPr>
        <w:spacing w:after="100" w:before="200"/>
      </w:pPr>
      <w:r>
        <w:rPr>
          <w:b/>
          <w:bCs/>
          <w:i/>
          <w:iCs/>
          <w:sz w:val="24"/>
          <w:szCs w:val="24"/>
        </w:rPr>
        <w:t xml:space="preserve">Researchers.</w:t>
      </w:r>
    </w:p>
    <w:p>
      <w:pPr>
        <w:spacing w:after="200" w:line="360"/>
        <w:ind w:firstLine="720"/>
        <w:jc w:val="both"/>
      </w:pPr>
      <w:r>
        <w:rPr>
          <w:sz w:val="24"/>
          <w:szCs w:val="24"/>
        </w:rPr>
        <w:t xml:space="preserve">The technical knowledge gained in Python programming, automated PDF-extraction pipelines, financial API integration, and deep learning frameworks while deploying the backend Admin Interface will be a useful professional asset. The researchers' discovery of the direct impact of converting traditional retroactive datasets to a proactive agricultural forecasting tool provides them with a strong foundational asset for developing future community-centric technology solutions.</w:t>
      </w:r>
    </w:p>
    <w:p>
      <w:pPr>
        <w:spacing w:after="100" w:before="200"/>
      </w:pPr>
      <w:r>
        <w:rPr>
          <w:b/>
          <w:bCs/>
          <w:i/>
          <w:iCs/>
          <w:sz w:val="24"/>
          <w:szCs w:val="24"/>
        </w:rPr>
        <w:t xml:space="preserve">Future Researchers.</w:t>
      </w:r>
    </w:p>
    <w:p>
      <w:pPr>
        <w:spacing w:after="200" w:line="360"/>
        <w:ind w:firstLine="720"/>
        <w:jc w:val="both"/>
      </w:pPr>
      <w:r>
        <w:rPr>
          <w:sz w:val="24"/>
          <w:szCs w:val="24"/>
        </w:rPr>
        <w:t xml:space="preserve">This study may serve as a structured technical guide and an architectural framework for innovative agricultural technology that bridges deep learning with community utility. Future researchers could directly leverage this dual-interface methodology to address the current constraints of the platform, such as expanding the variety of monitored agricultural commodities or widening the localized geographical scope beyond the NCR.</w:t>
      </w:r>
    </w:p>
    <w:p>
      <w:pPr>
        <w:spacing w:after="150" w:before="300"/>
      </w:pPr>
      <w:r>
        <w:rPr>
          <w:b/>
          <w:bCs/>
          <w:sz w:val="24"/>
          <w:szCs w:val="24"/>
        </w:rPr>
        <w:t xml:space="preserve">Statement of the Problem</w:t>
      </w:r>
    </w:p>
    <w:p>
      <w:pPr>
        <w:spacing w:after="200" w:line="360"/>
        <w:ind w:firstLine="720"/>
        <w:jc w:val="both"/>
      </w:pPr>
      <w:r>
        <w:rPr>
          <w:sz w:val="24"/>
          <w:szCs w:val="24"/>
        </w:rPr>
        <w:t xml:space="preserve">To ensure that the AgriPrice system provides a data-driven solution for the community, this study seeks to answer the following questions:</w:t>
      </w:r>
    </w:p>
    <w:p>
      <w:pPr>
        <w:spacing w:after="200" w:line="360"/>
        <w:jc w:val="both"/>
      </w:pPr>
      <w:r>
        <w:rPr>
          <w:sz w:val="24"/>
          <w:szCs w:val="24"/>
        </w:rPr>
        <w:t xml:space="preserve">1. How can a multivariate LSTM forecasting model be designed and developed to provide a 48 to 72 hour price lead time for various retail rice categories in the NCR by integrating macroeconomic factors?</w:t>
      </w:r>
    </w:p>
    <w:p>
      <w:pPr>
        <w:spacing w:after="200" w:line="360"/>
        <w:jc w:val="both"/>
      </w:pPr>
      <w:r>
        <w:rPr>
          <w:sz w:val="24"/>
          <w:szCs w:val="24"/>
        </w:rPr>
        <w:t xml:space="preserve">2. How can an automated data processing engine be developed to continuously extract, clean, and structure daily market prices and macroeconomic indicators through PDF price-table extraction and API integration?</w:t>
      </w:r>
    </w:p>
    <w:p>
      <w:pPr>
        <w:spacing w:after="200" w:line="360"/>
        <w:jc w:val="both"/>
      </w:pPr>
      <w:r>
        <w:rPr>
          <w:sz w:val="24"/>
          <w:szCs w:val="24"/>
        </w:rPr>
        <w:t xml:space="preserve">3. How will the Department of Agriculture—Agribusiness and Marketing Assistance Service evaluate the proposed system, AgriPrice, using the ISO 25010 standard in terms of Functional Suitability, Performance Efficiency, and Reliability?</w:t>
      </w:r>
    </w:p>
    <w:p>
      <w:pPr>
        <w:spacing w:after="200" w:line="360"/>
        <w:jc w:val="both"/>
      </w:pPr>
      <w:r>
        <w:rPr>
          <w:sz w:val="24"/>
          <w:szCs w:val="24"/>
        </w:rPr>
        <w:t xml:space="preserve">4. How will households evaluate the proposed system, AgriPrice, in terms of Usability, Functional Suitability (Effectiveness), and User Interface (Design)?</w:t>
      </w:r>
    </w:p>
    <w:p>
      <w:pPr>
        <w:spacing w:after="200" w:line="360"/>
        <w:jc w:val="both"/>
      </w:pPr>
      <w:r>
        <w:rPr>
          <w:sz w:val="24"/>
          <w:szCs w:val="24"/>
        </w:rPr>
        <w:t xml:space="preserve">5. How will local vendors evaluate the proposed system, AgriPrice, in terms of Usability, Functional Suitability (Effectiveness), and User Interface (Design)?</w:t>
      </w:r>
    </w:p>
    <w:p>
      <w:pPr>
        <w:spacing w:after="200" w:line="360"/>
        <w:jc w:val="both"/>
      </w:pPr>
      <w:r>
        <w:rPr>
          <w:sz w:val="24"/>
          <w:szCs w:val="24"/>
        </w:rPr>
        <w:t xml:space="preserve">6. How will IT professionals evaluate the proposed system, AgriPrice, using the ISO 25010 standard in terms of Functional Suitability, Performance Efficiency, Reliability, Compatibility, and Maintainability?</w:t>
      </w:r>
    </w:p>
    <w:p>
      <w:pPr>
        <w:spacing w:after="150" w:before="300"/>
      </w:pPr>
      <w:r>
        <w:rPr>
          <w:b/>
          <w:bCs/>
          <w:sz w:val="24"/>
          <w:szCs w:val="24"/>
        </w:rPr>
        <w:t xml:space="preserve">Objectives of the Study</w:t>
      </w:r>
    </w:p>
    <w:p>
      <w:pPr>
        <w:spacing w:after="200" w:line="360"/>
        <w:ind w:firstLine="720"/>
        <w:jc w:val="both"/>
      </w:pPr>
      <w:r>
        <w:rPr>
          <w:sz w:val="24"/>
          <w:szCs w:val="24"/>
        </w:rPr>
        <w:t xml:space="preserve">The primary objective of this study is to design and develop AgriPrice, an automated forecasting system that utilizes a multivariate LSTM model to provide a 48- to 72-hour price lead time for eight categories of commercial rice in the National Capital Region (NCR). Specifically, this study aims to:</w:t>
      </w:r>
    </w:p>
    <w:p>
      <w:pPr>
        <w:spacing w:after="200" w:line="360"/>
        <w:jc w:val="both"/>
      </w:pPr>
      <w:r>
        <w:rPr>
          <w:sz w:val="24"/>
          <w:szCs w:val="24"/>
        </w:rPr>
        <w:t xml:space="preserve">1. To design and develop a multivariate LSTM forecasting model that provides a 48- to 72-hour price lead time for various retail rice categories in the NCR by integrating macroeconomic factors.</w:t>
      </w:r>
    </w:p>
    <w:p>
      <w:pPr>
        <w:spacing w:after="200" w:line="360"/>
        <w:jc w:val="both"/>
      </w:pPr>
      <w:r>
        <w:rPr>
          <w:sz w:val="24"/>
          <w:szCs w:val="24"/>
        </w:rPr>
        <w:t xml:space="preserve">2. To develop an automated data processing engine that can continuously extract, clean, and structure daily market prices and macroeconomic indicators using PDF price-table extraction and API integration.</w:t>
      </w:r>
    </w:p>
    <w:p>
      <w:pPr>
        <w:spacing w:after="200" w:line="360"/>
        <w:jc w:val="both"/>
      </w:pPr>
      <w:r>
        <w:rPr>
          <w:sz w:val="24"/>
          <w:szCs w:val="24"/>
        </w:rPr>
        <w:t xml:space="preserve">3. To assess the proposed system through the evaluation of DA-AMAS using the ISO/IEC 25010 standard in terms of Functional Suitability, Performance Efficiency, and Reliability.</w:t>
      </w:r>
    </w:p>
    <w:p>
      <w:pPr>
        <w:spacing w:after="200" w:line="360"/>
        <w:jc w:val="both"/>
      </w:pPr>
      <w:r>
        <w:rPr>
          <w:sz w:val="24"/>
          <w:szCs w:val="24"/>
        </w:rPr>
        <w:t xml:space="preserve">4. To assess the proposed system through the evaluation of IT professionals using the ISO/IEC 25010 standard in terms of Functional Suitability, Performance Efficiency, Reliability, Compatibility, and Maintainability.</w:t>
      </w:r>
    </w:p>
    <w:p>
      <w:pPr>
        <w:spacing w:after="200" w:line="360"/>
        <w:jc w:val="both"/>
      </w:pPr>
      <w:r>
        <w:rPr>
          <w:sz w:val="24"/>
          <w:szCs w:val="24"/>
        </w:rPr>
        <w:t xml:space="preserve">5. To assess the proposed system through the evaluation of households using the ISO/IEC 25010 standard in terms of Usability, Functional Suitability (Effectiveness), and User Interface (Design).</w:t>
      </w:r>
    </w:p>
    <w:p>
      <w:pPr>
        <w:spacing w:after="200" w:line="360"/>
        <w:jc w:val="both"/>
      </w:pPr>
      <w:r>
        <w:rPr>
          <w:sz w:val="24"/>
          <w:szCs w:val="24"/>
        </w:rPr>
        <w:t xml:space="preserve">6. To assess the proposed system through the evaluation of local vendors using the ISO/IEC 25010 standard in terms of Usability, Functional Suitability (Effectiveness), and User Interface (Design).</w:t>
      </w:r>
    </w:p>
    <w:p>
      <w:pPr>
        <w:spacing w:after="200" w:before="100"/>
      </w:pPr>
      <w:r>
        <w:rPr>
          <w:b/>
          <w:bCs/>
          <w:color w:val="C00000"/>
          <w:sz w:val="22"/>
          <w:szCs w:val="22"/>
        </w:rPr>
        <w:t xml:space="preserve">[REVISION NOTE — Objective 6.4 (Compatibility) is now scoped in the body of Chapter 3 System Design: evaluated in terms of consistent rendering and functional behavior across standard desktop and mobile web browsers (Chrome, Firefox, Edge) at common screen resolutions.]</w:t>
      </w:r>
    </w:p>
    <w:p>
      <w:pPr>
        <w:spacing w:after="150" w:before="300"/>
      </w:pPr>
      <w:r>
        <w:rPr>
          <w:b/>
          <w:bCs/>
          <w:sz w:val="24"/>
          <w:szCs w:val="24"/>
        </w:rPr>
        <w:t xml:space="preserve">Scope and Limitations</w:t>
      </w:r>
    </w:p>
    <w:p>
      <w:pPr>
        <w:spacing w:after="200" w:line="360"/>
        <w:ind w:firstLine="720"/>
        <w:jc w:val="both"/>
      </w:pPr>
      <w:r>
        <w:rPr>
          <w:sz w:val="24"/>
          <w:szCs w:val="24"/>
        </w:rPr>
        <w:t xml:space="preserve">The scope of the proposed system focuses on forecasting the prevailing retail prices of eight commercial rice varieties, categorized into local and imported special, Premium, well-milled, and regular milled rice, within the National Capital Region (NCR). The system generates forecasts by automatically extracting the daily price index from the DA-AMAS website through PDF price-table extraction, alongside integrating the USD to PHP exchange rate via API, weekly diesel pump prices, and agricultural seasonality timelines.</w:t>
      </w:r>
    </w:p>
    <w:p>
      <w:pPr>
        <w:spacing w:after="200" w:line="360"/>
        <w:ind w:firstLine="720"/>
        <w:jc w:val="both"/>
      </w:pPr>
      <w:r>
        <w:rPr>
          <w:sz w:val="24"/>
          <w:szCs w:val="24"/>
        </w:rPr>
        <w:t xml:space="preserve">Meanwhile, the system is bound by several limitations. Expanding the geographical scope or adding other agricultural commodities would require entirely different localized datasets that are not consistently accessible. Furthermore, the model can predict price movements for a 48- to 72-hour lead time only; projecting beyond this timeframe decreases the accuracy of the LSTM algorithm due to the highly volatile nature of the Philippine market. The system is also strictly internet- and source-dependent. In the event of server downtime, API deprecation, or sudden layout changes to the DA-AMAS portal, the automated data extraction modules will fail. During such downtimes, the forecasting model remains usable by utilizing the 'Last Observed Value' in its local database, but it will not reflect the most current real-world market shifts. The accuracy of the forecast is also not guaranteed during unprecedented global economic crashes. The system does not factor in unpredictable environmental variables such as daily weather conditions, rainfall, or typhoons, and it does not explicitly encode asymmetric ("rockets and feathers") price transmission; any such pattern must be learned from the diesel and exchange-rate inputs. Finally, the DA-AMAS rice price record before April 2025 was available to the researchers only at weekly or irregular intervals, so the model's reported accuracy is measured on the daily-observation period from April 2025 onward.</w:t>
      </w:r>
    </w:p>
    <w:p>
      <w:pPr>
        <w:spacing w:after="200" w:before="100"/>
      </w:pPr>
      <w:r>
        <w:rPr>
          <w:b/>
          <w:bCs/>
          <w:color w:val="C00000"/>
          <w:sz w:val="22"/>
          <w:szCs w:val="22"/>
        </w:rPr>
        <w:t xml:space="preserve">[UPDATED 27 SEP 2026 — Two limitations added: asymmetric price transmission is not explicitly modelled (resolves the Theoretical Framework note), and pre-2025 DA data was weekly (resolves the dataset-span note in Chapter 3). Delete this note before final printing.]</w:t>
      </w:r>
    </w:p>
    <w:p>
      <w:pPr>
        <w:pageBreakBefore/>
        <w:spacing w:after="300" w:before="500"/>
        <w:jc w:val="center"/>
      </w:pPr>
      <w:r>
        <w:rPr>
          <w:b/>
          <w:bCs/>
          <w:sz w:val="28"/>
          <w:szCs w:val="28"/>
        </w:rPr>
        <w:t xml:space="preserve">CHAPTER 2 – REVIEW OF RELATED LITERATURE AND STUDIES</w:t>
      </w:r>
    </w:p>
    <w:p>
      <w:pPr>
        <w:spacing w:after="200" w:line="360"/>
        <w:jc w:val="both"/>
      </w:pPr>
      <w:r>
        <w:rPr>
          <w:sz w:val="24"/>
          <w:szCs w:val="24"/>
        </w:rPr>
        <w:t xml:space="preserve">This chapter presents a review of related literature and studies that have relevance to the present study.</w:t>
      </w:r>
    </w:p>
    <w:p>
      <w:pPr>
        <w:spacing w:after="150" w:before="300"/>
      </w:pPr>
      <w:r>
        <w:rPr>
          <w:b/>
          <w:bCs/>
          <w:sz w:val="24"/>
          <w:szCs w:val="24"/>
        </w:rPr>
        <w:t xml:space="preserve">Philippine Rice Market Vulnerability</w:t>
      </w:r>
    </w:p>
    <w:p>
      <w:pPr>
        <w:spacing w:after="200" w:line="360"/>
        <w:ind w:firstLine="720"/>
        <w:jc w:val="both"/>
      </w:pPr>
      <w:r>
        <w:rPr>
          <w:sz w:val="24"/>
          <w:szCs w:val="24"/>
        </w:rPr>
        <w:t xml:space="preserve">This persistent mismatch has resulted in the country becoming one of the world's largest and most consistent rice importers, with a domestic retail environment that is very vulnerable to international trade disruptions, logistical breakdowns, and geopolitical changes (Reyes et al., 2024). This reliance on imports in the National Capital Region (NCR) renders it more socio-economically vulnerable. The dense metropolitan hub serves as the main source and transshipment area for imported grains, making it the direct epicenter of retail price inflation whenever global supply chains constrict or provincial farmgate prices escalate (Philippine Statistics Authority [PSA], 2025).</w:t>
      </w:r>
    </w:p>
    <w:p>
      <w:pPr>
        <w:spacing w:after="200" w:line="360"/>
        <w:ind w:firstLine="720"/>
        <w:jc w:val="both"/>
      </w:pPr>
      <w:r>
        <w:rPr>
          <w:sz w:val="24"/>
          <w:szCs w:val="24"/>
        </w:rPr>
        <w:t xml:space="preserve">Montaño (2025) argues that the historical absence of forward-looking price signals contributes to the volatility of localized retail markets in the NCR. This is strongly supported by Taberna and Concepcion (2024), who found that in the absence of digital early warning mechanisms, urban consumer bases are entirely reactive. Localized trade spaces are structurally vulnerable; small-scale retail systems have very limited working capital, and sudden price adjustments very frequently result in a significant reduction in operating margins (Sombilla &amp; Dumayan, 2023).</w:t>
      </w:r>
    </w:p>
    <w:p>
      <w:pPr>
        <w:spacing w:after="150" w:before="300"/>
      </w:pPr>
      <w:r>
        <w:rPr>
          <w:b/>
          <w:bCs/>
          <w:sz w:val="24"/>
          <w:szCs w:val="24"/>
        </w:rPr>
        <w:t xml:space="preserve">Macroeconomic Factors</w:t>
      </w:r>
    </w:p>
    <w:p>
      <w:pPr>
        <w:spacing w:after="200" w:line="360"/>
        <w:ind w:firstLine="720"/>
        <w:jc w:val="both"/>
      </w:pPr>
      <w:r>
        <w:rPr>
          <w:sz w:val="24"/>
          <w:szCs w:val="24"/>
        </w:rPr>
        <w:t xml:space="preserve">A study by Polat et al. (2024) isolates the foreign exchange rate, specifically the USD-to-PHP valuation, as a primary systemic determinant of agricultural price shifts. Because global agricultural trade parameters are natively denominated in US dollars, any progressive weakening of the Philippine peso instantly inflates the landed cost of imported rice varieties long before they reach metropolitan retail distribution nets (Valera et al., 2022).</w:t>
      </w:r>
    </w:p>
    <w:p>
      <w:pPr>
        <w:spacing w:after="200" w:line="360"/>
        <w:ind w:firstLine="720"/>
        <w:jc w:val="both"/>
      </w:pPr>
      <w:r>
        <w:rPr>
          <w:sz w:val="24"/>
          <w:szCs w:val="24"/>
        </w:rPr>
        <w:t xml:space="preserve">These parameters are systematically overlooked in conventional, univariate market forecasting designs (Montaño, 2025). Bathan et al. (2025) documented that Philippine agricultural consumer markets experience a unique "rockets and feathers" asymmetric phenomenon in daily price transmission, where retail prices react with near instantaneous upward corrections to positive price shocks in diesel or exchange rates, but with extreme latency when input costs decline. Diesel pump price changes in Metro Manila's distribution terminals are a direct logistical amplifier (Alonzo &amp; Castillo, 2024), a finding supported by international cross-commodity models from Tanchuling and Gabriel (2023).</w:t>
      </w:r>
    </w:p>
    <w:p>
      <w:pPr>
        <w:spacing w:after="150" w:before="300"/>
      </w:pPr>
      <w:r>
        <w:rPr>
          <w:b/>
          <w:bCs/>
          <w:sz w:val="24"/>
          <w:szCs w:val="24"/>
        </w:rPr>
        <w:t xml:space="preserve">Automated Data Gathering and PDF/Web-Based Extraction</w:t>
      </w:r>
    </w:p>
    <w:p>
      <w:pPr>
        <w:spacing w:after="200" w:before="100"/>
      </w:pPr>
      <w:r>
        <w:rPr>
          <w:b/>
          <w:bCs/>
          <w:color w:val="C00000"/>
          <w:sz w:val="22"/>
          <w:szCs w:val="22"/>
        </w:rPr>
        <w:t xml:space="preserve">[REVISION NOTE — section retitled — the earlier heading "Automated Data Gathering and Web Scraping" implied HTML scraping; the actual DA-AMAS pipeline is PDF layout extraction, so the heading and body text now reflect that.]</w:t>
      </w:r>
    </w:p>
    <w:p>
      <w:pPr>
        <w:spacing w:after="200" w:line="360"/>
        <w:ind w:firstLine="720"/>
        <w:jc w:val="both"/>
      </w:pPr>
      <w:r>
        <w:rPr>
          <w:sz w:val="24"/>
          <w:szCs w:val="24"/>
        </w:rPr>
        <w:t xml:space="preserve">Traditional assessment pipelines relied heavily on manual paper-based field surveys, which were resource intensive and led to significant latency and human entry errors (Kim &amp; Lee, 2022). Current data engineering methodologies fully automate data-extraction processes to programmatically capture and organize large matrices of agricultural data (Kim &amp; Lee, 2022). The Philippine Statistics Authority has developed custom programmatic extraction models to actively monitor commodity price points daily across the NCR (Philippine Statistics Authority, 2023).</w:t>
      </w:r>
    </w:p>
    <w:p>
      <w:pPr>
        <w:spacing w:after="200" w:line="360"/>
        <w:ind w:firstLine="720"/>
        <w:jc w:val="both"/>
      </w:pPr>
      <w:r>
        <w:rPr>
          <w:sz w:val="24"/>
          <w:szCs w:val="24"/>
        </w:rPr>
        <w:t xml:space="preserve">Basic extraction modules often structurally fail if the target sources change their visual layout or embed figures in complex, dynamically generated tables. Modern applications tackle this by employing AI to systematically interpret document layout instead of brittle, hardcoded parsing paths (Vashishth et al., 2024). This is directly applicable in the Philippines, where the majority of local government agricultural units disseminate daily price indices as unformatted PDF files rather than machine-readable datasets (Asian Development Bank, 2024), requiring customized back-end rule-based, layout-aware PDF extraction engines to parse, sanitize, and validate these public records (Asian Development Bank, 2024).</w:t>
      </w:r>
    </w:p>
    <w:p>
      <w:pPr>
        <w:spacing w:after="200" w:line="360"/>
        <w:ind w:firstLine="720"/>
        <w:jc w:val="both"/>
      </w:pPr>
      <w:r>
        <w:rPr>
          <w:sz w:val="24"/>
          <w:szCs w:val="24"/>
        </w:rPr>
        <w:t xml:space="preserve">A centralized, server-side extraction loop ensures pipeline longevity by decoupling the local database from abrupt changes in external source layouts (Santos &amp; Dela Cruz, 2024), a structural approach echoed internationally by Zhang and Wang (2024), where automated data-harvesting engines with integrated exception-handling layers were found critical for deploying deep-learning models in dynamic public data environments.</w:t>
      </w:r>
    </w:p>
    <w:p>
      <w:pPr>
        <w:spacing w:after="150" w:before="300"/>
      </w:pPr>
      <w:r>
        <w:rPr>
          <w:b/>
          <w:bCs/>
          <w:sz w:val="24"/>
          <w:szCs w:val="24"/>
        </w:rPr>
        <w:t xml:space="preserve">Machine Learning in Agricultural Forecasting</w:t>
      </w:r>
    </w:p>
    <w:p>
      <w:pPr>
        <w:spacing w:after="100" w:before="200"/>
      </w:pPr>
      <w:r>
        <w:rPr>
          <w:b/>
          <w:bCs/>
          <w:i/>
          <w:iCs/>
          <w:sz w:val="24"/>
          <w:szCs w:val="24"/>
        </w:rPr>
        <w:t xml:space="preserve">Traditional vs. Artificial Intelligence</w:t>
      </w:r>
    </w:p>
    <w:p>
      <w:pPr>
        <w:spacing w:after="200" w:line="360"/>
        <w:ind w:firstLine="720"/>
        <w:jc w:val="both"/>
      </w:pPr>
      <w:r>
        <w:rPr>
          <w:sz w:val="24"/>
          <w:szCs w:val="24"/>
        </w:rPr>
        <w:t xml:space="preserve">Conventional time-series techniques such as ARIMA are still useful for identifying linear trends within stable, stationary datasets; however, their predictive reliability suffers significantly when commodity prices are influenced by non-linear market anomalies and erratic macroeconomic disruptions. Sun et al. (2023) found that agricultural price forecasting has shifted toward deep learning methodologies for this reason. Theofilou et al. (2025), in a systematic literature review, confirmed deep learning models have become standard for staple crop price projection; this is supported by Manogna et al. (2025) and, locally, Duyapat (2025), who showed machine learning configurations produced significantly lower prediction errors than univariate techniques on Philippine rice price indices. The evidence is not one-sided, however. Comparing statistical and machine learning methods on 1,045 monthly series from the M3 competition, Makridakis et al. (2018) found the established statistical methods more accurate than the machine learning methods tested, and in the M4 competition the most accurate submissions were mostly combinations of methods, the winner being a hybrid of a statistical model and a recurrent neural network (Makridakis et al., 2020). This study therefore tests its LSTM against statistical baselines instead of assuming it is superior.</w:t>
      </w:r>
    </w:p>
    <w:p>
      <w:pPr>
        <w:spacing w:after="200" w:before="100"/>
      </w:pPr>
      <w:r>
        <w:rPr>
          <w:b/>
          <w:bCs/>
          <w:color w:val="C00000"/>
          <w:sz w:val="22"/>
          <w:szCs w:val="22"/>
        </w:rPr>
        <w:t xml:space="preserve">[REVISION NOTE — counter-evidence added (Makridakis et al., 2018; 2020). Add both, plus Bates and Granger (1969) and Kalman (1960) cited in Chapter 3, to the References. Still required: populate the Synthesis Matrix below with your team's actual source list.]</w:t>
      </w:r>
    </w:p>
    <w:p>
      <w:pPr>
        <w:spacing w:after="100" w:before="200"/>
      </w:pPr>
      <w:r>
        <w:rPr>
          <w:b/>
          <w:bCs/>
          <w:i/>
          <w:iCs/>
          <w:sz w:val="24"/>
          <w:szCs w:val="24"/>
        </w:rPr>
        <w:t xml:space="preserve">Neural Networks</w:t>
      </w:r>
    </w:p>
    <w:p>
      <w:pPr>
        <w:spacing w:after="200" w:line="360"/>
        <w:ind w:firstLine="720"/>
        <w:jc w:val="both"/>
      </w:pPr>
      <w:r>
        <w:rPr>
          <w:sz w:val="24"/>
          <w:szCs w:val="24"/>
        </w:rPr>
        <w:t xml:space="preserve">Artificial neural networks automatically learn and adjust weights to account for hidden non-linear relationships, unlike rigid econometric designs. Chang et al. (2024) demonstrated multi-layered neural systems achieving high precision in agricultural output modeling. Fariz and Basha (2025) demonstrated that hyperparameter optimization loops reduce computational bias and variance in crop trend prediction. Locally, Lagrazon and Tan (2023) implemented neural network configurations for agricultural prediction in Quezon Province, and Arcega et al. (2026) confirmed neural networks are being actively investigated in Philippine academic spaces to address data gaps left by traditional baseline models.</w:t>
      </w:r>
    </w:p>
    <w:p>
      <w:pPr>
        <w:spacing w:after="100" w:before="200"/>
      </w:pPr>
      <w:r>
        <w:rPr>
          <w:b/>
          <w:bCs/>
          <w:i/>
          <w:iCs/>
          <w:sz w:val="24"/>
          <w:szCs w:val="24"/>
        </w:rPr>
        <w:t xml:space="preserve">Multivariate Approaches</w:t>
      </w:r>
    </w:p>
    <w:p>
      <w:pPr>
        <w:spacing w:after="200" w:line="360"/>
        <w:ind w:firstLine="720"/>
        <w:jc w:val="both"/>
      </w:pPr>
      <w:r>
        <w:rPr>
          <w:sz w:val="24"/>
          <w:szCs w:val="24"/>
        </w:rPr>
        <w:t xml:space="preserve">Gu et al. (2022) found that incorporating multiple heterogeneous inputs, such as trading volume indices and macroeconomic markers, significantly improves long-term predictive accuracy. Guo et al. (2022) found multivariate time-series models mapping cross-commodity interactions have significantly higher structural stability than isolated univariate models. Min et al. (2025) demonstrated multivariate forecasting reduces error accumulation over long horizons, and Parreno and Anter (2024) confirmed that machine learning models in the Philippine agricultural landscape achieve optimal reliability when processing multivariate inputs rather than standalone metrics — directly supporting AgriPrice's inclusion of diesel, exchange rate, and seasonality variables.</w:t>
      </w:r>
    </w:p>
    <w:p>
      <w:pPr>
        <w:spacing w:after="150" w:before="300"/>
      </w:pPr>
      <w:r>
        <w:rPr>
          <w:b/>
          <w:bCs/>
          <w:sz w:val="24"/>
          <w:szCs w:val="24"/>
        </w:rPr>
        <w:t xml:space="preserve">Long Short-Term Memory Networks for Time-Series</w:t>
      </w:r>
    </w:p>
    <w:p>
      <w:pPr>
        <w:spacing w:after="200" w:line="360"/>
        <w:ind w:firstLine="720"/>
        <w:jc w:val="both"/>
      </w:pPr>
      <w:r>
        <w:rPr>
          <w:sz w:val="24"/>
          <w:szCs w:val="24"/>
        </w:rPr>
        <w:t xml:space="preserve">According to Smagulova et al. (2024), the LSTM model's structural value stems from its internal cell state design and specialized gating mechanisms — input, forget, and output gates — that regulate the persistence and flow of information across the network, directly addressing the vanishing gradient problem that plagues traditional RNNs.</w:t>
      </w:r>
    </w:p>
    <w:p>
      <w:pPr>
        <w:spacing w:after="200" w:line="360"/>
        <w:ind w:firstLine="720"/>
        <w:jc w:val="both"/>
      </w:pPr>
      <w:r>
        <w:rPr>
          <w:sz w:val="24"/>
          <w:szCs w:val="24"/>
        </w:rPr>
        <w:t xml:space="preserve">Recent international studies report that multivariate LSTM models often outperform classical statistical benchmarks in commodity markets (Gu et al., 2022; Liu et al., 2025). Within the domestic context, Fuselero (2022) applied deep recurrent architectures to model daily solar radiation sequences in Dumaguete, confirming these networks retain stability on volatile local timelines. However, Parreno (2026) found that while national energy and financial sectors have transitioned to LSTM configurations, agricultural price tracking in the Philippines is still limited by static, linear, and adapted multivariate baseline systems — the specific research gap this study addresses.</w:t>
      </w:r>
    </w:p>
    <w:p>
      <w:pPr>
        <w:spacing w:after="150" w:before="300"/>
      </w:pPr>
      <w:r>
        <w:rPr>
          <w:b/>
          <w:bCs/>
          <w:sz w:val="24"/>
          <w:szCs w:val="24"/>
        </w:rPr>
        <w:t xml:space="preserve">Synthesis Matrix of Related Systems and Studies</w:t>
      </w:r>
    </w:p>
    <w:p>
      <w:pPr>
        <w:spacing w:after="200" w:before="100"/>
      </w:pPr>
      <w:r>
        <w:rPr>
          <w:b/>
          <w:bCs/>
          <w:color w:val="C00000"/>
          <w:sz w:val="22"/>
          <w:szCs w:val="22"/>
        </w:rPr>
        <w:t xml:space="preserve">[REVISION NOTE — required structural addition — populate every row from the studies cited above; no "Gap" cell should be left blank. This must appear before the narrative synthesis section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6.666666666666668%"/>
            <w:shd w:fill="1F2937" w:val="clear"/>
            <w:tcMar>
              <w:top w:type="dxa" w:w="100"/>
              <w:left w:type="dxa" w:w="100"/>
              <w:bottom w:type="dxa" w:w="100"/>
              <w:right w:type="dxa" w:w="100"/>
            </w:tcMar>
          </w:tcPr>
          <w:p>
            <w:r>
              <w:rPr>
                <w:b/>
                <w:bCs/>
                <w:color w:val="FFFFFF"/>
                <w:sz w:val="20"/>
                <w:szCs w:val="20"/>
              </w:rPr>
              <w:t xml:space="preserve">System / Study</w:t>
            </w:r>
          </w:p>
        </w:tc>
        <w:tc>
          <w:tcPr>
            <w:tcW w:type="pct" w:w="16.666666666666668%"/>
            <w:shd w:fill="1F2937" w:val="clear"/>
            <w:tcMar>
              <w:top w:type="dxa" w:w="100"/>
              <w:left w:type="dxa" w:w="100"/>
              <w:bottom w:type="dxa" w:w="100"/>
              <w:right w:type="dxa" w:w="100"/>
            </w:tcMar>
          </w:tcPr>
          <w:p>
            <w:r>
              <w:rPr>
                <w:b/>
                <w:bCs/>
                <w:color w:val="FFFFFF"/>
                <w:sz w:val="20"/>
                <w:szCs w:val="20"/>
              </w:rPr>
              <w:t xml:space="preserve">Algorithm</w:t>
            </w:r>
          </w:p>
        </w:tc>
        <w:tc>
          <w:tcPr>
            <w:tcW w:type="pct" w:w="16.666666666666668%"/>
            <w:shd w:fill="1F2937" w:val="clear"/>
            <w:tcMar>
              <w:top w:type="dxa" w:w="100"/>
              <w:left w:type="dxa" w:w="100"/>
              <w:bottom w:type="dxa" w:w="100"/>
              <w:right w:type="dxa" w:w="100"/>
            </w:tcMar>
          </w:tcPr>
          <w:p>
            <w:r>
              <w:rPr>
                <w:b/>
                <w:bCs/>
                <w:color w:val="FFFFFF"/>
                <w:sz w:val="20"/>
                <w:szCs w:val="20"/>
              </w:rPr>
              <w:t xml:space="preserve">Dataset</w:t>
            </w:r>
          </w:p>
        </w:tc>
        <w:tc>
          <w:tcPr>
            <w:tcW w:type="pct" w:w="16.666666666666668%"/>
            <w:shd w:fill="1F2937" w:val="clear"/>
            <w:tcMar>
              <w:top w:type="dxa" w:w="100"/>
              <w:left w:type="dxa" w:w="100"/>
              <w:bottom w:type="dxa" w:w="100"/>
              <w:right w:type="dxa" w:w="100"/>
            </w:tcMar>
          </w:tcPr>
          <w:p>
            <w:r>
              <w:rPr>
                <w:b/>
                <w:bCs/>
                <w:color w:val="FFFFFF"/>
                <w:sz w:val="20"/>
                <w:szCs w:val="20"/>
              </w:rPr>
              <w:t xml:space="preserve">Forecast Horizon</w:t>
            </w:r>
          </w:p>
        </w:tc>
        <w:tc>
          <w:tcPr>
            <w:tcW w:type="pct" w:w="16.666666666666668%"/>
            <w:shd w:fill="1F2937" w:val="clear"/>
            <w:tcMar>
              <w:top w:type="dxa" w:w="100"/>
              <w:left w:type="dxa" w:w="100"/>
              <w:bottom w:type="dxa" w:w="100"/>
              <w:right w:type="dxa" w:w="100"/>
            </w:tcMar>
          </w:tcPr>
          <w:p>
            <w:r>
              <w:rPr>
                <w:b/>
                <w:bCs/>
                <w:color w:val="FFFFFF"/>
                <w:sz w:val="20"/>
                <w:szCs w:val="20"/>
              </w:rPr>
              <w:t xml:space="preserve">Accuracy Metric</w:t>
            </w:r>
          </w:p>
        </w:tc>
        <w:tc>
          <w:tcPr>
            <w:tcW w:type="pct" w:w="16.666666666666668%"/>
            <w:shd w:fill="1F2937" w:val="clear"/>
            <w:tcMar>
              <w:top w:type="dxa" w:w="100"/>
              <w:left w:type="dxa" w:w="100"/>
              <w:bottom w:type="dxa" w:w="100"/>
              <w:right w:type="dxa" w:w="100"/>
            </w:tcMar>
          </w:tcPr>
          <w:p>
            <w:r>
              <w:rPr>
                <w:b/>
                <w:bCs/>
                <w:color w:val="FFFFFF"/>
                <w:sz w:val="20"/>
                <w:szCs w:val="20"/>
              </w:rPr>
              <w:t xml:space="preserve">Identified Gap</w:t>
            </w:r>
          </w:p>
        </w:tc>
      </w:tr>
      <w:tr>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r>
      <w:tr>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r>
      <w:tr>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r>
      <w:tr>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r>
      <w:tr>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r>
      <w:tr>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r>
      <w:tr>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r>
    </w:tbl>
    <w:p>
      <w:pPr>
        <w:spacing w:after="200" w:line="360"/>
        <w:jc w:val="both"/>
      </w:pPr>
      <w:r>
        <w:rPr>
          <w:sz w:val="24"/>
          <w:szCs w:val="24"/>
        </w:rPr>
        <w:t xml:space="preserve"/>
      </w:r>
    </w:p>
    <w:p>
      <w:pPr>
        <w:spacing w:after="150" w:before="300"/>
      </w:pPr>
      <w:r>
        <w:rPr>
          <w:b/>
          <w:bCs/>
          <w:sz w:val="24"/>
          <w:szCs w:val="24"/>
        </w:rPr>
        <w:t xml:space="preserve">Synthesis of the State of the Art and Research Gap</w:t>
      </w:r>
    </w:p>
    <w:p>
      <w:pPr>
        <w:spacing w:after="200" w:line="360"/>
        <w:ind w:firstLine="720"/>
        <w:jc w:val="both"/>
      </w:pPr>
      <w:r>
        <w:rPr>
          <w:sz w:val="24"/>
          <w:szCs w:val="24"/>
        </w:rPr>
        <w:t xml:space="preserve">The current body of literature clearly establishes that automated data extraction, layout-aware parsing, multivariate statistical modeling, and deep learning architectures are highly validated technologies when deployed as isolated, independent software units (Cravero et al., 2022). However, their seamless, end-to-end integration into a cohesive web-based forecasting utility within the domestic agricultural framework is still in its early stages. The Philippine Institute for Development Studies reports that advanced digital solutions exist conceptually, but their actual application in systematically monitoring and protecting Philippine agriculture remains highly limited and fragmented, revealing a clear operational gap: the absence of a unified digital platform converting complex raw data engineering inputs into practical, actionable foresight for non-technical community members.</w:t>
      </w:r>
    </w:p>
    <w:p>
      <w:pPr>
        <w:spacing w:after="200" w:line="360"/>
        <w:ind w:firstLine="720"/>
        <w:jc w:val="both"/>
      </w:pPr>
      <w:r>
        <w:rPr>
          <w:sz w:val="24"/>
          <w:szCs w:val="24"/>
        </w:rPr>
        <w:t xml:space="preserve">A more thorough diagnostic review reveals a critical research gap in raw data freshness and input variable composition; most domestic tracking models rely on manually retrieved historical datasets, limiting their ability to detect and adapt to short-term macroeconomic price shocks (Montaño, 2025). The Bangko Sentral ng Pilipinas emphasizes that traditional, static pricing models have massive structural error rates because they are unable to immediately incorporate real-time changes in external variables, causing static, univariate setups to significantly underestimate actual domestic food inflation timelines (BSP, 2024).</w:t>
      </w:r>
    </w:p>
    <w:p>
      <w:pPr>
        <w:spacing w:after="200" w:line="360"/>
        <w:ind w:firstLine="720"/>
        <w:jc w:val="both"/>
      </w:pPr>
      <w:r>
        <w:rPr>
          <w:sz w:val="24"/>
          <w:szCs w:val="24"/>
        </w:rPr>
        <w:t xml:space="preserve">To address these documented structural limitations, the Philippine Institute for Development Studies explicitly states that local research initiatives must actively integrate centralized decision-support dashboards to permanently replace manual, high-latency data collection workflows (Briones et al., 2023).</w:t>
      </w:r>
    </w:p>
    <w:p>
      <w:pPr>
        <w:pageBreakBefore/>
        <w:spacing w:after="300" w:before="500"/>
        <w:jc w:val="center"/>
      </w:pPr>
      <w:r>
        <w:rPr>
          <w:b/>
          <w:bCs/>
          <w:sz w:val="28"/>
          <w:szCs w:val="28"/>
        </w:rPr>
        <w:t xml:space="preserve">CHAPTER 3 – METHODOLOGY</w:t>
      </w:r>
    </w:p>
    <w:p>
      <w:pPr>
        <w:spacing w:after="200" w:line="360"/>
        <w:jc w:val="both"/>
      </w:pPr>
      <w:r>
        <w:rPr>
          <w:sz w:val="24"/>
          <w:szCs w:val="24"/>
        </w:rPr>
        <w:t xml:space="preserve">This chapter presents the research design and the methods used by the researcher in conducting the study. It includes a discussion on the research methods used, research instruments, data-gathering procedures, and statistical treatment of data.</w:t>
      </w:r>
    </w:p>
    <w:p>
      <w:pPr>
        <w:spacing w:after="150" w:before="300"/>
      </w:pPr>
      <w:r>
        <w:rPr>
          <w:b/>
          <w:bCs/>
          <w:sz w:val="24"/>
          <w:szCs w:val="24"/>
        </w:rPr>
        <w:t xml:space="preserve">Research Design</w:t>
      </w:r>
    </w:p>
    <w:p>
      <w:pPr>
        <w:spacing w:after="200" w:line="360"/>
        <w:ind w:firstLine="720"/>
        <w:jc w:val="both"/>
      </w:pPr>
      <w:r>
        <w:rPr>
          <w:sz w:val="24"/>
          <w:szCs w:val="24"/>
        </w:rPr>
        <w:t xml:space="preserve">This study utilizes a mixed developmental and quantitative research design. The quantitative phase involves collecting continuous time-series data, training a multivariate Long Short-Term Memory (LSTM) model, and evaluating its predictive accuracy. Meanwhile, the developmental phase focuses on designing and deploying a functional, web-based forecasting dashboard for households and local vendors in the National Capital Region (NCR).</w:t>
      </w:r>
    </w:p>
    <w:p>
      <w:pPr>
        <w:spacing w:after="200" w:line="360"/>
        <w:ind w:firstLine="720"/>
        <w:jc w:val="both"/>
      </w:pPr>
      <w:r>
        <w:rPr>
          <w:sz w:val="24"/>
          <w:szCs w:val="24"/>
        </w:rPr>
        <w:t xml:space="preserve">The multivariate LSTM model is trained on the DA-AMAS retail rice price record from January 2015 to September 2026, spanning multiple full agricultural seasonality cycles, currency regimes, and the 2023–2024 global rice-export disruption. The granularity of this record is not uniform, and the study discloses it: from 2015 to 2024 the DA-AMAS prices available to the researchers were published at weekly or irregular intervals and are carried forward day by day to align them with the daily feature table, whereas from April 2025 onward prices are observed daily (the price changes on about 83% of days). April 1, 2025 is therefore treated as the start of the daily-observation era, and the model is evaluated only on that era. Gaps in the 2026 public bulletins were filled with values supplied directly by the Department of Agriculture, which are stored as separately flagged verified rows.</w:t>
      </w:r>
    </w:p>
    <w:p>
      <w:pPr>
        <w:spacing w:after="200" w:before="100"/>
      </w:pPr>
      <w:r>
        <w:rPr>
          <w:b/>
          <w:bCs/>
          <w:color w:val="C00000"/>
          <w:sz w:val="22"/>
          <w:szCs w:val="22"/>
        </w:rPr>
        <w:t xml:space="preserve">[UPDATED 27 SEP 2026 — "fifteen years of daily data" corrected to the actual 2015–2026 record, and the weekly-then-daily granularity disclosed here and in Scope and Limitations, as this note required. Delete this note before final printing.]</w:t>
      </w:r>
    </w:p>
    <w:p>
      <w:pPr>
        <w:spacing w:after="200" w:line="360"/>
        <w:ind w:firstLine="720"/>
        <w:jc w:val="both"/>
      </w:pPr>
      <w:r>
        <w:rPr>
          <w:sz w:val="24"/>
          <w:szCs w:val="24"/>
        </w:rPr>
        <w:t xml:space="preserve">The dataset is partitioned chronologically to preserve temporal ordering and prevent data leakage, using a regime-aware split: observations up to March 31, 2025 are used for training; April 1 to October 6, 2025 for validation (model selection and early stopping); and October 7, 2025 to September 24, 2026 is held out for testing. Validation and test are both drawn from the daily-observation era, because a plain 70/15/15 split placed an almost static, largely carried-forward period in validation (88% unchanged days) while the test period moved almost daily, so a model would be selected on one kind of data and scored on another. No random shuffling is applied at any stage, the min-max scaler is fitted on training rows only, and every run is seeded so that reported metrics are reproducible.</w:t>
      </w:r>
    </w:p>
    <w:p>
      <w:pPr>
        <w:spacing w:after="200" w:before="100"/>
      </w:pPr>
      <w:r>
        <w:rPr>
          <w:b/>
          <w:bCs/>
          <w:color w:val="C00000"/>
          <w:sz w:val="22"/>
          <w:szCs w:val="22"/>
        </w:rPr>
        <w:t xml:space="preserve">[UPDATED 27 SEP 2026 — the split is chronological and regime-aware in the code (model/train.py), and every metric reported in Chapter 4 comes from it. Delete this note before final printing.]</w:t>
      </w:r>
    </w:p>
    <w:p>
      <w:pPr>
        <w:spacing w:after="200" w:line="360"/>
        <w:ind w:firstLine="720"/>
        <w:jc w:val="both"/>
      </w:pPr>
      <w:r>
        <w:rPr>
          <w:sz w:val="24"/>
          <w:szCs w:val="24"/>
        </w:rPr>
        <w:t xml:space="preserve">To build the AgriPrice system, the researchers applied the Agile Software Development Methodology. This iterative framework allowed the team to continuously review and refine the system across six phases: Planning, Analysis, Design, Implementation, Testing, and Deployment. Each of the six phases was executed through iterative sprints supported by a maintained product backlog, with the development team conducting periodic reviews to reprioritize tasks in response to testing feedback, particularly during the Implementation and Testing phases where scraper reliability and model tuning required repeated refinement.</w:t>
      </w:r>
    </w:p>
    <w:p>
      <w:pPr>
        <w:spacing w:after="200" w:before="100"/>
      </w:pPr>
      <w:r>
        <w:rPr>
          <w:b/>
          <w:bCs/>
          <w:color w:val="C00000"/>
          <w:sz w:val="22"/>
          <w:szCs w:val="22"/>
        </w:rPr>
        <w:t xml:space="preserve">[REVISION NOTE — sprint-evidence sentence added per team confirmation that sprints and backlogs were actually run. CONFIRM: total sprint count and approximate sprint duration (e.g., "six two-week sprints"), and bring backlog/board screenshots to your defense as supporting evidence — a claim without an artifact is not evidence.]</w:t>
      </w:r>
    </w:p>
    <w:p>
      <w:pPr>
        <w:spacing w:after="200" w:line="360"/>
        <w:ind w:firstLine="720"/>
        <w:jc w:val="both"/>
      </w:pPr>
      <w:r>
        <w:rPr>
          <w:sz w:val="24"/>
          <w:szCs w:val="24"/>
        </w:rPr>
        <w:t xml:space="preserve">Data collection for the system is fully automated, eliminating the need for manual field surveys. The system uses custom PDF price-table extraction and API integration to continuously pull structured numerical data. The primary macroeconomic inputs used for forecasting include the daily rice retail prices from the Department of Agriculture (DA-AMAS), USD to PHP exchange rates, weekly diesel pump prices, gasoline prices, rice-stock inventory, and farmgate prices, complemented by an engineered agricultural-seasonality timeline.</w:t>
      </w:r>
    </w:p>
    <w:p>
      <w:pPr>
        <w:spacing w:after="200" w:line="360"/>
        <w:ind w:firstLine="720"/>
        <w:jc w:val="both"/>
      </w:pPr>
      <w:r>
        <w:rPr>
          <w:sz w:val="24"/>
          <w:szCs w:val="24"/>
        </w:rPr>
        <w:t xml:space="preserve">To prove the system's effectiveness and accuracy, testing was divided into two tracks: technical model validation and user-centered system evaluation. First, the accuracy of the forecasting model is measured using established forecasting metrics, primarily Mean Absolute Error (MAE) and Root Mean Squared Error (RMSE), with the Augmented Dickey-Fuller (ADF) test used to check the stationarity of the price series. The model is benchmarked against two baselines: a naive persistence baseline, in which the forecasted price for time t+n is assumed equal to the last observed price at time t, and an ARIMA(1,1,1) model. This comparison establishes whether the added complexity of the multivariate LSTM-based system yields a measurable accuracy improvement over a trivial and a classical statistical forecasting approach.</w:t>
      </w:r>
    </w:p>
    <w:p>
      <w:pPr>
        <w:spacing w:after="200" w:before="100"/>
      </w:pPr>
      <w:r>
        <w:rPr>
          <w:b/>
          <w:bCs/>
          <w:color w:val="C00000"/>
          <w:sz w:val="22"/>
          <w:szCs w:val="22"/>
        </w:rPr>
        <w:t xml:space="preserve">[UPDATED 27 SEP 2026 — both baselines (naive persistence and ARIMA(1,1,1)) are implemented and reported in model/meta.json and Admin → Metrics. Delete this note before final printing.]</w:t>
      </w:r>
    </w:p>
    <w:p>
      <w:pPr>
        <w:spacing w:after="200" w:line="360"/>
        <w:ind w:firstLine="720"/>
        <w:jc w:val="both"/>
      </w:pPr>
      <w:r>
        <w:rPr>
          <w:sz w:val="24"/>
          <w:szCs w:val="24"/>
        </w:rPr>
        <w:t xml:space="preserve">Second, the web dashboard undergoes user evaluation. IT professionals and DA-AMAS personnel evaluate the system based on the ISO 25010 Software Quality Standard, specifically assessing its functional suitability, performance efficiency, and reliability. On the other hand, the target end-users, the households and local vendors, rate the system's usability, effectiveness, and user interface design using a 4-point Likert scale questionnaire.</w:t>
      </w:r>
    </w:p>
    <w:p>
      <w:pPr>
        <w:spacing w:after="150" w:before="300"/>
      </w:pPr>
      <w:r>
        <w:rPr>
          <w:b/>
          <w:bCs/>
          <w:sz w:val="24"/>
          <w:szCs w:val="24"/>
        </w:rPr>
        <w:t xml:space="preserve">Algorithm</w:t>
      </w:r>
    </w:p>
    <w:p>
      <w:pPr>
        <w:spacing w:after="200" w:line="360"/>
        <w:ind w:firstLine="720"/>
        <w:jc w:val="both"/>
      </w:pPr>
      <w:r>
        <w:rPr>
          <w:sz w:val="24"/>
          <w:szCs w:val="24"/>
        </w:rPr>
        <w:t xml:space="preserve">The core predictive engine of AgriPrice utilizes the LSTM neural network algorithm. As a specialized type of Recurrent Neural Network (RNN), LSTM is designed to learn long-range dependencies in sequential data. Unlike standard neural networks that process inputs independently, LSTM networks maintain a memory state across time steps. This ability to retain historical context makes the algorithm highly suitable for time-series forecasting in volatile and nonlinear markets, such as the Philippine rice market.</w:t>
      </w:r>
    </w:p>
    <w:p>
      <w:pPr>
        <w:spacing w:after="200" w:line="360"/>
        <w:ind w:firstLine="720"/>
        <w:jc w:val="both"/>
      </w:pPr>
      <w:r>
        <w:rPr>
          <w:sz w:val="24"/>
          <w:szCs w:val="24"/>
        </w:rPr>
        <w:t xml:space="preserve">The internal architecture of an LSTM cell consists of three primary gating mechanisms: the input gate, the forget gate, and the output gate. The forget gate determines which historical information is discarded from the cell state. Meanwhile, the input gate controls the storage of new information, and the output gate regulates the data passed to the next time step. Together, these mechanisms solve the vanishing gradient problem common in standard RNNs.</w:t>
      </w:r>
    </w:p>
    <w:p>
      <w:pPr>
        <w:spacing w:after="200" w:line="360"/>
        <w:ind w:firstLine="720"/>
        <w:jc w:val="both"/>
      </w:pPr>
      <w:r>
        <w:rPr>
          <w:sz w:val="24"/>
          <w:szCs w:val="24"/>
        </w:rPr>
        <w:t xml:space="preserve">Related literature reports that LSTM networks frequently outperform traditional statistical forecasting methods such as ARIMA in agricultural and commodity price prediction, although large forecasting competitions also show that simple statistical methods and combinations of forecasts remain hard to beat (Makridakis et al., 2018; 2020). For this system, the multivariate LSTM configuration takes in multivariate input features: daily rice retail prices from DA-AMAS, the USD to PHP exchange rate, weekly diesel pump prices, gasoline prices, rice-stock inventory, and farmgate prices, together with engineered agricultural-seasonality (cyclical month), price-lag, and rolling-average features. It then produces a two to three day price forecast for eight commercial rice categories.</w:t>
      </w:r>
    </w:p>
    <w:p>
      <w:pPr>
        <w:spacing w:after="200" w:line="360"/>
        <w:ind w:firstLine="720"/>
        <w:jc w:val="both"/>
      </w:pPr>
      <w:r>
        <w:rPr>
          <w:sz w:val="24"/>
          <w:szCs w:val="24"/>
        </w:rPr>
        <w:t xml:space="preserve">The researchers selected this algorithm specifically for AgriPrice to address the Philippine rice market's nonlinear and volatile characteristics, including the 'rockets and feathers' price transmission phenomenon identified by Bathan et al. (2025). A model lacking the capability to process multiple economic variables simultaneously and learn from long historical sequences would fail to address the research gap identified in this study.</w:t>
      </w:r>
    </w:p>
    <w:p>
      <w:pPr>
        <w:spacing w:after="100" w:before="200"/>
      </w:pPr>
      <w:r>
        <w:rPr>
          <w:b/>
          <w:bCs/>
          <w:i/>
          <w:iCs/>
          <w:sz w:val="24"/>
          <w:szCs w:val="24"/>
        </w:rPr>
        <w:t xml:space="preserve">LSTM Hybrid and Adaptive Ensemble</w:t>
      </w:r>
    </w:p>
    <w:p>
      <w:pPr>
        <w:spacing w:after="200" w:line="360"/>
        <w:ind w:firstLine="720"/>
        <w:jc w:val="both"/>
      </w:pPr>
      <w:r>
        <w:rPr>
          <w:sz w:val="24"/>
          <w:szCs w:val="24"/>
        </w:rPr>
        <w:t xml:space="preserve">In the implemented system the LSTM network's output is not published on its own. Each rice type's network predicts the change from the last observed price (anchored-delta mode), and this change is combined with a mean-reversion term. Daily DA prices tend to partly reverse the previous day's move (the lag-1 autocorrelation of daily changes is between −0.17 and −0.41 across the eight rice types), so one regression coefficient per forecast day and per weekday is re-estimated on the most recent 120 days before every forecast and applied only when it is statistically significant (|t| ≥ 2). The weekday matters because the Sunday bulletin covers fewer markets and is about five times noisier than weekday bulletins. This combination is referred to as the LSTM hybrid.</w:t>
      </w:r>
    </w:p>
    <w:p>
      <w:pPr>
        <w:spacing w:after="200" w:line="360"/>
        <w:ind w:firstLine="720"/>
        <w:jc w:val="both"/>
      </w:pPr>
      <w:r>
        <w:rPr>
          <w:sz w:val="24"/>
          <w:szCs w:val="24"/>
        </w:rPr>
        <w:t xml:space="preserve">The published forecast is an adaptive ensemble of three forecasters: (1) the LSTM hybrid, (2) the ARIMA(1,1,1) model, and (3) a local-level Kalman filter (Kalman, 1960) whose noise variance differs by weekday. Each day the three forecasts are weighted by the inverse of their mean squared error over the last 30 realised forecasts, separately for each rice type and forecast day (Bates &amp; Granger, 1969). Only past errors are used, so a weight never depends on the price being forecast. Forecast combination was adopted because, in this study's evaluation, no single model was most accurate for every rice type, and combining close competitors is an established way to reduce forecast error (Makridakis et al., 2020).</w:t>
      </w:r>
    </w:p>
    <w:p>
      <w:pPr>
        <w:spacing w:after="200" w:line="360"/>
        <w:ind w:firstLine="720"/>
        <w:jc w:val="both"/>
      </w:pPr>
      <w:r>
        <w:rPr>
          <w:sz w:val="24"/>
          <w:szCs w:val="24"/>
        </w:rPr>
        <w:t xml:space="preserve">Every forecast is published with a price range computed by split conformal prediction from the ensemble's own errors over the last 60 observations. Because daily price errors are not fully exchangeable, the nominal level is set to 93% so that the realised coverage is approximately 90%. Forecast changes smaller than PHP 0.10 per kilogram are published as "steady" rather than as a rise or a fall, because the model cannot call the direction of moves that small better than chance.</w:t>
      </w:r>
    </w:p>
    <w:p>
      <w:pPr>
        <w:spacing w:after="200" w:before="100"/>
      </w:pPr>
      <w:r>
        <w:rPr>
          <w:b/>
          <w:bCs/>
          <w:color w:val="C00000"/>
          <w:sz w:val="22"/>
          <w:szCs w:val="22"/>
        </w:rPr>
        <w:t xml:space="preserve">[UPDATED 27 SEP 2026 — New subsection. It describes the forecaster as actually deployed (model/predict.py, model/ensemble.py, model/mean_reversion.py). The LSTM remains the core learned component; whether it adds accuracy is reported in Chapter 4. Delete this note before final printing.]</w:t>
      </w:r>
    </w:p>
    <w:p>
      <w:pPr>
        <w:spacing w:after="150" w:before="300"/>
      </w:pPr>
      <w:r>
        <w:rPr>
          <w:b/>
          <w:bCs/>
          <w:sz w:val="24"/>
          <w:szCs w:val="24"/>
        </w:rPr>
        <w:t xml:space="preserve">System Design</w:t>
      </w:r>
    </w:p>
    <w:p>
      <w:pPr>
        <w:spacing w:after="200" w:line="360"/>
        <w:ind w:firstLine="720"/>
        <w:jc w:val="both"/>
      </w:pPr>
      <w:r>
        <w:rPr>
          <w:sz w:val="24"/>
          <w:szCs w:val="24"/>
        </w:rPr>
        <w:t xml:space="preserve">This study uses an Agile development strategy to design and build the AgriPrice Forecasting System, as the project's success is dependent on the system's capacity to remain accurate and accessible within a highly unpredictable rice market. The automated data ingestion module, the backend LSTM forecasting engine, and the web-based interface where users view the results are the three primary building blocks of this study's methodology.</w:t>
      </w:r>
    </w:p>
    <w:p>
      <w:pPr>
        <w:spacing w:after="200" w:line="360"/>
        <w:ind w:firstLine="720"/>
        <w:jc w:val="both"/>
      </w:pPr>
      <w:r>
        <w:rPr>
          <w:sz w:val="24"/>
          <w:szCs w:val="24"/>
        </w:rPr>
        <w:t xml:space="preserve">During these phases, the researchers work on "fine-tuning" the system's learning — for example, constantly experimenting with how far back the model should look at previous data (the "look-back window") to produce the best, most accurate forecast for the next 48 to 72 hours. The improvements are driven by two feedback loops: IT experts assess the stability of the codebase and AI logic, and households and local vendors assess whether the price charts and alerts on the deployed website are easy to understand and useful for daily budgeting.</w:t>
      </w:r>
    </w:p>
    <w:p>
      <w:pPr>
        <w:spacing w:after="100" w:before="200"/>
      </w:pPr>
      <w:r>
        <w:rPr>
          <w:b/>
          <w:bCs/>
          <w:i/>
          <w:iCs/>
          <w:sz w:val="24"/>
          <w:szCs w:val="24"/>
        </w:rPr>
        <w:t xml:space="preserve">Planning</w:t>
      </w:r>
    </w:p>
    <w:p>
      <w:pPr>
        <w:spacing w:after="200" w:line="360"/>
        <w:ind w:firstLine="720"/>
        <w:jc w:val="both"/>
      </w:pPr>
      <w:r>
        <w:rPr>
          <w:sz w:val="24"/>
          <w:szCs w:val="24"/>
        </w:rPr>
        <w:t xml:space="preserve">The planning phase started with the identification of a major 'information gap' in the Philippine agricultural sector, particularly the lack of proactive price signals for urban stakeholders in the NCR (Reyes et al., 2024). Researchers restricted their study to eight commercial categories of rice and identified the 48- to 72-hour forecast horizon as the critical window for "Lead-Time Awareness." During this phase, the team evaluated the technical feasibility of LSTM networks and identified the external data flows needed, such as the DA-AMAS price index and global fuel rates.</w:t>
      </w:r>
    </w:p>
    <w:p>
      <w:pPr>
        <w:spacing w:after="100" w:before="200"/>
      </w:pPr>
      <w:r>
        <w:rPr>
          <w:b/>
          <w:bCs/>
          <w:i/>
          <w:iCs/>
          <w:sz w:val="24"/>
          <w:szCs w:val="24"/>
        </w:rPr>
        <w:t xml:space="preserve">Requirements Analysis</w:t>
      </w:r>
    </w:p>
    <w:p>
      <w:pPr>
        <w:spacing w:after="200" w:line="360"/>
        <w:ind w:firstLine="720"/>
        <w:jc w:val="both"/>
      </w:pPr>
      <w:r>
        <w:rPr>
          <w:sz w:val="24"/>
          <w:szCs w:val="24"/>
        </w:rPr>
        <w:t xml:space="preserve">In the analysis phase, the researchers focused on identifying the functional and technical requirements to make the system a reliable decision-support tool. The study found that current government reporting is largely backward-looking and thus cannot help users anticipate "price shocks" before they occur. The processing requirements were divided into an automated sequential data pipeline: the data ingestion phase continuously extracts raw data from PDFs and financial APIs, the processing layer performs missing-value handling and min-max normalization, the analytical core uses the multivariate LSTM network to recognize the seasonal trend, and finally, the delivery engine converts the granular outputs into user-friendly trend indicators.</w:t>
      </w:r>
    </w:p>
    <w:p>
      <w:pPr>
        <w:spacing w:after="100" w:before="200"/>
      </w:pPr>
      <w:r>
        <w:rPr>
          <w:b/>
          <w:bCs/>
          <w:i/>
          <w:iCs/>
          <w:sz w:val="24"/>
          <w:szCs w:val="24"/>
        </w:rPr>
        <w:t xml:space="preserve">Designing</w:t>
      </w:r>
    </w:p>
    <w:p>
      <w:pPr>
        <w:spacing w:after="200" w:line="360"/>
        <w:ind w:firstLine="720"/>
        <w:jc w:val="both"/>
      </w:pPr>
      <w:r>
        <w:rPr>
          <w:sz w:val="24"/>
          <w:szCs w:val="24"/>
        </w:rPr>
        <w:t xml:space="preserve">During the design phase, the technical design of AgriPrice has been developed with a Python back-end and a SQLite3 database to ensure reliable data persistence and fast forecast execution. The system architecture was built to support a dual-viewing framework to isolate complex technical analytics from general user views. A restricted admin interface was designed for IT experts and DA-AMAS representatives to review backend metrics, data extraction logs, and historical error rates. In contrast, a simplified public dashboard was engineered for standard desktop and mobile web browsers to serve as a general viewing platform for non-technical stakeholders — households and vendors.</w:t>
      </w:r>
    </w:p>
    <w:p>
      <w:pPr>
        <w:spacing w:after="200" w:before="100"/>
      </w:pPr>
      <w:r>
        <w:rPr>
          <w:b/>
          <w:bCs/>
          <w:color w:val="C00000"/>
          <w:sz w:val="22"/>
          <w:szCs w:val="22"/>
        </w:rPr>
        <w:t xml:space="preserve">[REVISION NOTE — terminology fix — "data scraping logs" corrected to "data extraction logs" to match the PDF-extraction pipeline. Desktop-and-mobile (responsive) scope restated for consistency with Objective 6.4 and the Purpose and Description section above.]</w:t>
      </w:r>
    </w:p>
    <w:p>
      <w:pPr>
        <w:spacing w:after="100" w:before="200"/>
      </w:pPr>
      <w:r>
        <w:rPr>
          <w:b/>
          <w:bCs/>
          <w:i/>
          <w:iCs/>
          <w:sz w:val="24"/>
          <w:szCs w:val="24"/>
        </w:rPr>
        <w:t xml:space="preserve">Implementation (Design Phase Summary)</w:t>
      </w:r>
    </w:p>
    <w:p>
      <w:pPr>
        <w:spacing w:after="200" w:line="360"/>
        <w:ind w:firstLine="720"/>
        <w:jc w:val="both"/>
      </w:pPr>
      <w:r>
        <w:rPr>
          <w:sz w:val="24"/>
          <w:szCs w:val="24"/>
        </w:rPr>
        <w:t xml:space="preserve">The implementation phase translated the final technical specifications into working software structures. The researchers began by programmatically setting up the data ingestion pipeline, using Python to build a custom PDF price-table extraction tool and financial API connectors. These script modules were designed to automatically extract daily retail rice data directly from official DA-AMAS PDF releases and fetch global currency parameters, structuring and committing these time-series datasets into a local SQLite3 database.</w:t>
      </w:r>
    </w:p>
    <w:p>
      <w:pPr>
        <w:spacing w:after="200" w:line="360"/>
        <w:ind w:firstLine="720"/>
        <w:jc w:val="both"/>
      </w:pPr>
      <w:r>
        <w:rPr>
          <w:sz w:val="24"/>
          <w:szCs w:val="24"/>
        </w:rPr>
        <w:t xml:space="preserve">Simultaneously, the AgriPrice deep learning core was built in a native Python environment with dedicated machine learning frameworks. The researchers configured the topology of the multivariate LSTM network by defining dense computational layers, setting dropout regularizations, and sizing look-back windows to successfully read and process the aligned cross-commodity inputs and historical sequences stored in the SQLite3 tables.</w:t>
      </w:r>
    </w:p>
    <w:p>
      <w:pPr>
        <w:spacing w:after="200" w:line="360"/>
        <w:ind w:firstLine="720"/>
        <w:jc w:val="both"/>
      </w:pPr>
      <w:r>
        <w:rPr>
          <w:sz w:val="24"/>
          <w:szCs w:val="24"/>
        </w:rPr>
        <w:t xml:space="preserve">The last block of development focused on building the user-facing web interface using vanilla HTML5, CSS3, and JavaScript, optimized for standard desktop and mobile web browsers. The design employs asynchronous JavaScript routines to communicate securely with the Python data environment, dynamically displaying market predictions, directional trend arrows, and historical point comparisons without full page refreshes.</w:t>
      </w:r>
    </w:p>
    <w:p>
      <w:pPr>
        <w:spacing w:after="100" w:before="200"/>
      </w:pPr>
      <w:r>
        <w:rPr>
          <w:b/>
          <w:bCs/>
          <w:i/>
          <w:iCs/>
          <w:sz w:val="24"/>
          <w:szCs w:val="24"/>
        </w:rPr>
        <w:t xml:space="preserve">Testing</w:t>
      </w:r>
    </w:p>
    <w:p>
      <w:pPr>
        <w:spacing w:after="200" w:line="360"/>
        <w:ind w:firstLine="720"/>
        <w:jc w:val="both"/>
      </w:pPr>
      <w:r>
        <w:rPr>
          <w:sz w:val="24"/>
          <w:szCs w:val="24"/>
        </w:rPr>
        <w:t xml:space="preserve">The testing phase consisted of a rigorous dual-track validation pipeline run immediately after system compilation to ensure execution stability on standard desktop and mobile web browsers and model precision under market volatility. The first track was technical model validation, where the mathematical accuracy of the trained multivariate LSTM architecture was evaluated against historical pricing trends and macroeconomic parameters, benchmarked against naive persistence and ARIMA(1,1,1) baselines, with directional accuracy and the coverage of the published price ranges also measured. This predictive layer was critically audited using Mean Absolute Error (MAE) to set the baseline margin of error in raw Philippine pesos and Root Mean Squared Error (RMSE) to heavily penalize large anomalous forecasting errors.</w:t>
      </w:r>
    </w:p>
    <w:p>
      <w:pPr>
        <w:spacing w:after="200" w:line="360"/>
        <w:ind w:firstLine="720"/>
        <w:jc w:val="both"/>
      </w:pPr>
      <w:r>
        <w:rPr>
          <w:sz w:val="24"/>
          <w:szCs w:val="24"/>
        </w:rPr>
        <w:t xml:space="preserve">The second stream dealt with software quality assurance and stakeholder-driven system evaluation. The data ingestion engine was augmented with automated validation scripts to verify that the parsing algorithms would successfully extract tables from PDFs with a variety of source formatting styles without causing timeouts on the servers. An automated test suite (74 tests) checks the PDF reader against saved DA bulletins, the scraper's plausibility guard, the forecast log, and the model's output contract. The whole system was evaluated after functional validation using a structured questionnaire with a 4-point Likert scale. The data collected from household managers, local retail vendors, DA-AMAS representatives, and IT experts were statistically summarized using Weighted Mean and Standard Deviation to confirm that the platform meets the requirements for functional suitability, performance efficiency, reliability, compatibility, and maintainability.</w:t>
      </w:r>
    </w:p>
    <w:p>
      <w:pPr>
        <w:spacing w:after="100" w:before="200"/>
      </w:pPr>
      <w:r>
        <w:rPr>
          <w:b/>
          <w:bCs/>
          <w:i/>
          <w:iCs/>
          <w:sz w:val="24"/>
          <w:szCs w:val="24"/>
        </w:rPr>
        <w:t xml:space="preserve">Deployment</w:t>
      </w:r>
    </w:p>
    <w:p>
      <w:pPr>
        <w:spacing w:after="200" w:line="360"/>
        <w:ind w:firstLine="720"/>
        <w:jc w:val="both"/>
      </w:pPr>
      <w:r>
        <w:rPr>
          <w:sz w:val="24"/>
          <w:szCs w:val="24"/>
        </w:rPr>
        <w:t xml:space="preserve">The deployment phase involved the transition of the completed AgriPrice system from a secured development workspace into an operational automated decision-support utility on a web-server architecture. The structural deployment routine involved packaging the standalone Python backend environment, creating local read-write privileges for the internal SQLite3 database engine, and hosting the dashboard files natively to run on standard desktop and mobile browser applications.</w:t>
      </w:r>
    </w:p>
    <w:p>
      <w:pPr>
        <w:spacing w:after="200" w:line="360"/>
        <w:ind w:firstLine="720"/>
        <w:jc w:val="both"/>
      </w:pPr>
      <w:r>
        <w:rPr>
          <w:sz w:val="24"/>
          <w:szCs w:val="24"/>
        </w:rPr>
        <w:t xml:space="preserve">Once set up, an operational baseline was initiated, allowing the core application to automatically initiate its PDF extraction, API connection tasks, feature normalization routines, and LSTM predictive loops completely without human intervention at a fixed 24-hour frequency interval. A post-release review loop was introduced to maintain baseline reliability; the live 48-to-72-hour price projections from the web dashboard were continuously compared against subsequent physical market monitoring sheets issued by the Department of Agriculture. This comparison is automated: every published forecast is written to a forecast log before the DA price for its day exists and is scored once that price is published, giving a prospective (forward) evaluation that no later change to the model can alter.</w:t>
      </w:r>
    </w:p>
    <w:p>
      <w:pPr>
        <w:spacing w:after="150" w:before="300"/>
      </w:pPr>
      <w:r>
        <w:rPr>
          <w:b/>
          <w:bCs/>
          <w:sz w:val="24"/>
          <w:szCs w:val="24"/>
        </w:rPr>
        <w:t xml:space="preserve">Theoretical Framework</w:t>
      </w:r>
    </w:p>
    <w:p>
      <w:pPr>
        <w:spacing w:after="200" w:line="360"/>
        <w:ind w:firstLine="720"/>
        <w:jc w:val="both"/>
      </w:pPr>
      <w:r>
        <w:rPr>
          <w:sz w:val="24"/>
          <w:szCs w:val="24"/>
        </w:rPr>
        <w:t xml:space="preserve">The study is based on LSTM Architecture, a special type of RNN which can identify long-term patterns in sequential data. Unlike traditional statistical models that tend to get lost in the "noise" of a volatile market, LSTM theory uses a series of "memory gates" to determine what historical information is important to keep, and what to throw away. This is very much true in the Philippine rice market where the "Rockets and Feathers" Price Transmission Theory usually occurs — retail prices tend to increase rapidly like "rockets" upon increases in costs, but decrease slowly like "feathers" in times of cost reductions (Bathan et al., 2025).</w:t>
      </w:r>
    </w:p>
    <w:p>
      <w:pPr>
        <w:spacing w:after="200" w:line="360"/>
        <w:ind w:firstLine="720"/>
        <w:jc w:val="both"/>
      </w:pPr>
      <w:r>
        <w:rPr>
          <w:sz w:val="24"/>
          <w:szCs w:val="24"/>
        </w:rPr>
        <w:t xml:space="preserve">In addition, the study uses Multivariate Time-Series Theory, which states that the price of one commodity is not determined independently but is the result of a number of external factors. In the case of AgriPrice, this theory explains the inclusion of "shifters" like the USD-to-PHP exchange rate and diesel pump prices. This framework integrates these economic shifters with Agricultural Seasonality Theory, which considers the natural lean and harvest cycles of the Philippine rice calendar, to offer a holistic "multi-lens" perspective of the market.</w:t>
      </w:r>
    </w:p>
    <w:p>
      <w:pPr>
        <w:spacing w:after="200" w:before="100"/>
      </w:pPr>
      <w:r>
        <w:rPr>
          <w:b/>
          <w:bCs/>
          <w:color w:val="C00000"/>
          <w:sz w:val="22"/>
          <w:szCs w:val="22"/>
        </w:rPr>
        <w:t xml:space="preserve">[UPDATED 27 SEP 2026 — asymmetric (rising vs. falling) input features are not implemented; this is now stated as a limitation in Chapter 1 Scope and Limitations. Delete this note before final printing.]</w:t>
      </w:r>
    </w:p>
    <w:p>
      <w:pPr>
        <w:spacing w:after="150" w:before="300"/>
      </w:pPr>
      <w:r>
        <w:rPr>
          <w:b/>
          <w:bCs/>
          <w:sz w:val="24"/>
          <w:szCs w:val="24"/>
        </w:rPr>
        <w:t xml:space="preserve">Conceptual Framework</w:t>
      </w:r>
    </w:p>
    <w:p>
      <w:pPr>
        <w:spacing w:after="200" w:before="100"/>
      </w:pPr>
      <w:r>
        <w:rPr>
          <w:b/>
          <w:bCs/>
          <w:color w:val="C00000"/>
          <w:sz w:val="22"/>
          <w:szCs w:val="22"/>
        </w:rPr>
        <w:t xml:space="preserve">[REVISION NOTE — the original diagram graphic (data sources → ingestion → LSTM → outputs) could not be reconstructed losslessly in this revision pass — reinsert your original diagram image here from your design source file. The descriptive paragraphs below have been corrected for terminology and are ready to accompany it.]</w:t>
      </w:r>
    </w:p>
    <w:p>
      <w:pPr>
        <w:spacing w:after="200" w:line="360"/>
        <w:ind w:firstLine="720"/>
        <w:jc w:val="both"/>
      </w:pPr>
      <w:r>
        <w:rPr>
          <w:sz w:val="24"/>
          <w:szCs w:val="24"/>
        </w:rPr>
        <w:t xml:space="preserve">The conceptual framework of AgriPrice illustrates the complete process flow of the system from automated data collection to the delivery of actionable rice price forecasts to end-users in the NCR. The framework begins with four parallel data input streams, each collected automatically without manual intervention. The first stream retrieves daily retail rice prices for eight commercial categories from the DA-AMAS portal using rule-based, layout-aware PDF price-table extraction. The second stream captures the daily USD to PHP exchange rate via a financial API. The third stream integrates weekly diesel pump prices from a public Manila fuel-price source. The fourth stream encodes an agricultural seasonality index based on the Philippine rice production calendar.</w:t>
      </w:r>
    </w:p>
    <w:p>
      <w:pPr>
        <w:spacing w:after="200" w:before="100"/>
      </w:pPr>
      <w:r>
        <w:rPr>
          <w:b/>
          <w:bCs/>
          <w:color w:val="C00000"/>
          <w:sz w:val="22"/>
          <w:szCs w:val="22"/>
        </w:rPr>
        <w:t xml:space="preserve">[REVISION NOTE — terminology fix applied — "AI-based web scraping and PDF Document Object Model (DOM) parsing" corrected to "rule-based, layout-aware PDF price-table extraction." DOM (Document Object Model) applies to HTML structure, not PDF layout; using it here was a conceptual error that misdescribes your own pipeline.]</w:t>
      </w:r>
    </w:p>
    <w:p>
      <w:pPr>
        <w:spacing w:after="200" w:line="360"/>
        <w:ind w:firstLine="720"/>
        <w:jc w:val="both"/>
      </w:pPr>
      <w:r>
        <w:rPr>
          <w:sz w:val="24"/>
          <w:szCs w:val="24"/>
        </w:rPr>
        <w:t xml:space="preserve">All four streams converge into the Data Ingestion and Cleaning stage, where a dedicated preprocessing pipeline resolves missing values through a last-observed-value substitution strategy, applies min-max normalization, and merges the four streams into a single unified time-series dataset. This is followed by the Feature Engineering stage, which generates lag variables and rolling averages, enabling the LSTM model to learn temporal dependencies.</w:t>
      </w:r>
    </w:p>
    <w:p>
      <w:pPr>
        <w:spacing w:after="200" w:line="360"/>
        <w:ind w:firstLine="720"/>
        <w:jc w:val="both"/>
      </w:pPr>
      <w:r>
        <w:rPr>
          <w:sz w:val="24"/>
          <w:szCs w:val="24"/>
        </w:rPr>
        <w:t xml:space="preserve">The processed dataset is then fed into the Multivariate LSTM Model, which has two stacked LSTM layers with dropout regularization, reads a 30-day look-back window, and is trained with early stopping on the validation set; alternative training configurations were compared on the validation window only. The LSTM's forecast, corrected by the weekday mean-reversion term, is combined with ARIMA(1,1,1) and Kalman filter forecasts in an adaptive ensemble, which executes the 48-to-72-hour price forecasting operation for all eight commercial rice categories, delivered through four output components: the Web Dashboard, the 8 Rice Category Predictions with their expected price ranges, the Lead-Time Awareness alert, and the Inventory Decision Support signal for local vendors.</w:t>
      </w:r>
    </w:p>
    <w:p>
      <w:pPr>
        <w:spacing w:after="150" w:before="300"/>
      </w:pPr>
      <w:r>
        <w:rPr>
          <w:b/>
          <w:bCs/>
          <w:sz w:val="24"/>
          <w:szCs w:val="24"/>
        </w:rPr>
        <w:t xml:space="preserve">Implementation</w:t>
      </w:r>
    </w:p>
    <w:p>
      <w:pPr>
        <w:spacing w:after="200" w:line="360"/>
        <w:ind w:firstLine="720"/>
        <w:jc w:val="both"/>
      </w:pPr>
      <w:r>
        <w:rPr>
          <w:sz w:val="24"/>
          <w:szCs w:val="24"/>
        </w:rPr>
        <w:t xml:space="preserve">The Implementation Phase serves as the core development stage of the AgriPrice system. Following an iterative approach, the team developed and tested each component independently prior to full system integration.</w:t>
      </w:r>
    </w:p>
    <w:p>
      <w:pPr>
        <w:spacing w:after="100" w:before="200"/>
      </w:pPr>
      <w:r>
        <w:rPr>
          <w:b/>
          <w:bCs/>
          <w:i/>
          <w:iCs/>
          <w:sz w:val="24"/>
          <w:szCs w:val="24"/>
        </w:rPr>
        <w:t xml:space="preserve">Data Ingestion Module.</w:t>
      </w:r>
    </w:p>
    <w:p>
      <w:pPr>
        <w:spacing w:after="200" w:line="360"/>
        <w:ind w:firstLine="720"/>
        <w:jc w:val="both"/>
      </w:pPr>
      <w:r>
        <w:rPr>
          <w:sz w:val="24"/>
          <w:szCs w:val="24"/>
        </w:rPr>
        <w:t xml:space="preserve">The team developed a Python-based extraction tool to automatically access the DA-AMAS portal on a daily basis. To handle the portal's PDF-formatted price data, the researchers created a custom rule-based, layout-aware PDF extraction script. The script locates each price by the position of its row label on the page rather than by its order in the extracted text, so a missing value ("n/a") in one column cannot shift the remaining prices into the wrong columns. Before a new price is saved, a plausibility guard holds any reading that duplicates an adjacent grade's price or deviates by more than 6% from the median of its last seven readings; held readings are queued in the admin panel for a person to approve or reject. Additionally, an API connector was developed to retrieve the daily USD to PHP exchange rate from a financial data provider. A local database stores both data streams, running daily updates completely without human intervention.</w:t>
      </w:r>
    </w:p>
    <w:p>
      <w:pPr>
        <w:spacing w:after="100" w:before="200"/>
      </w:pPr>
      <w:r>
        <w:rPr>
          <w:b/>
          <w:bCs/>
          <w:i/>
          <w:iCs/>
          <w:sz w:val="24"/>
          <w:szCs w:val="24"/>
        </w:rPr>
        <w:t xml:space="preserve">Data Processing Engine.</w:t>
      </w:r>
    </w:p>
    <w:p>
      <w:pPr>
        <w:spacing w:after="200" w:line="360"/>
        <w:ind w:firstLine="720"/>
        <w:jc w:val="both"/>
      </w:pPr>
      <w:r>
        <w:rPr>
          <w:sz w:val="24"/>
          <w:szCs w:val="24"/>
        </w:rPr>
        <w:t xml:space="preserve">A dedicated preprocessing pipeline cleans, validates, and normalizes all incoming data. The engine resolves missing values through a last-observed-value substitution strategy, an effective method for handling short-term data gaps. The pipeline constructs the feature matrix by aligning the daily rice prices, exchange rates, diesel prices, and the seasonality index into a single, structured input sequence for the LSTM model.</w:t>
      </w:r>
    </w:p>
    <w:p>
      <w:pPr>
        <w:spacing w:after="100" w:before="200"/>
      </w:pPr>
      <w:r>
        <w:rPr>
          <w:b/>
          <w:bCs/>
          <w:i/>
          <w:iCs/>
          <w:sz w:val="24"/>
          <w:szCs w:val="24"/>
        </w:rPr>
        <w:t xml:space="preserve">LSTM Model Development.</w:t>
      </w:r>
    </w:p>
    <w:p>
      <w:pPr>
        <w:spacing w:after="200" w:line="360"/>
        <w:ind w:firstLine="720"/>
        <w:jc w:val="both"/>
      </w:pPr>
      <w:r>
        <w:rPr>
          <w:sz w:val="24"/>
          <w:szCs w:val="24"/>
        </w:rPr>
        <w:t xml:space="preserve">The researchers built the multivariate LSTM model using TensorFlow/Keras. The architecture has two stacked LSTM layers (64 and 32 units), each followed by 20% dropout to prevent overfitting, a 16-unit dense layer, and an output layer with one value per forecast day. It is trained with the Adam optimizer on mean squared error, a batch size of 32, a 30-day look-back window, and early stopping on validation loss. One model is trained per rice type (eight in total). Besides the production configuration, the team tested nine alternative training strategies, including weekday input features, one network pooled across all eight rice types, down-weighting the older weekly-era data, training on the residual of the statistical forecast, and pre-training on the weekly era before fine-tuning on the daily era, always selecting on the validation window only. The model was trained on the full 2015–2026 record using the chronological, regime-aware split described above, without temporal data leakage.</w:t>
      </w:r>
    </w:p>
    <w:p>
      <w:pPr>
        <w:spacing w:after="100" w:before="200"/>
      </w:pPr>
      <w:r>
        <w:rPr>
          <w:b/>
          <w:bCs/>
          <w:i/>
          <w:iCs/>
          <w:sz w:val="24"/>
          <w:szCs w:val="24"/>
        </w:rPr>
        <w:t xml:space="preserve">Web Dashboard Deployment.</w:t>
      </w:r>
    </w:p>
    <w:p>
      <w:pPr>
        <w:spacing w:after="200" w:line="360"/>
        <w:ind w:firstLine="720"/>
        <w:jc w:val="both"/>
      </w:pPr>
      <w:r>
        <w:rPr>
          <w:sz w:val="24"/>
          <w:szCs w:val="24"/>
        </w:rPr>
        <w:t xml:space="preserve">To make the system's forecasts accessible, the team developed and deployed a user-friendly web dashboard optimized for standard desktop and mobile web browsers. The interface displays the 48-to-72-hour price projections for all eight rice categories using clear visual formats, highlighting the most recently observed prices alongside a simplified trend indicator. Each forecast is shown with its expected price range, and predicted changes under PHP 0.10 are labelled as steady.</w:t>
      </w:r>
    </w:p>
    <w:p>
      <w:pPr>
        <w:spacing w:after="150" w:before="300"/>
      </w:pPr>
      <w:r>
        <w:rPr>
          <w:b/>
          <w:bCs/>
          <w:sz w:val="24"/>
          <w:szCs w:val="24"/>
        </w:rPr>
        <w:t xml:space="preserve">Statistical Treatment of Data</w:t>
      </w:r>
    </w:p>
    <w:p>
      <w:pPr>
        <w:spacing w:after="200" w:line="360"/>
        <w:ind w:firstLine="720"/>
        <w:jc w:val="both"/>
      </w:pPr>
      <w:r>
        <w:rPr>
          <w:sz w:val="24"/>
          <w:szCs w:val="24"/>
        </w:rPr>
        <w:t xml:space="preserve">The following statistical tools were used in the presentation and analysis of data gathered in the study:</w:t>
      </w:r>
    </w:p>
    <w:p>
      <w:pPr>
        <w:spacing w:after="100" w:before="200"/>
      </w:pPr>
      <w:r>
        <w:rPr>
          <w:b/>
          <w:bCs/>
          <w:i/>
          <w:iCs/>
          <w:sz w:val="24"/>
          <w:szCs w:val="24"/>
        </w:rPr>
        <w:t xml:space="preserve">Weighted Mean</w:t>
      </w:r>
    </w:p>
    <w:p>
      <w:pPr>
        <w:spacing w:after="200" w:line="360"/>
        <w:ind w:firstLine="720"/>
        <w:jc w:val="both"/>
      </w:pPr>
      <w:r>
        <w:rPr>
          <w:sz w:val="24"/>
          <w:szCs w:val="24"/>
        </w:rPr>
        <w:t xml:space="preserve">The Weighted Mean is used to compute the average scores of the four respondent groups. For the household managers and local vendors, this measures the usability of the system and its practical effectiveness in day-to-day budget and inventory management. The IT professionals and DA-AMAS personnel use the weighted mean to assess the technical quality of the system based on the ISO 25010 standard. The researchers interpret these results using a 4-point Likert scale: "Strongly Agree" (Excellent) ranges from 3.51 to 4.00; "Agree" (Very Satisfactory) ranges from 2.51 to 3.50; "Disagree" (Fair) ranges from 1.51 to 2.50; and "Strongly Disagree" (Poor) ranges from 1.00 to 1.50.</w:t>
      </w:r>
    </w:p>
    <w:p>
      <w:pPr>
        <w:spacing w:after="200" w:before="200"/>
        <w:jc w:val="center"/>
      </w:pPr>
      <w:r>
        <w:drawing>
          <wp:inline distT="0" distB="0" distL="0" distR="0">
            <wp:extent cx="40005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304925"/>
                    </a:xfrm>
                    <a:prstGeom prst="rect">
                      <a:avLst/>
                    </a:prstGeom>
                  </pic:spPr>
                </pic:pic>
              </a:graphicData>
            </a:graphic>
          </wp:inline>
        </w:drawing>
      </w:r>
    </w:p>
    <w:p>
      <w:pPr>
        <w:spacing w:after="100" w:before="200"/>
      </w:pPr>
      <w:r>
        <w:rPr>
          <w:b/>
          <w:bCs/>
          <w:i/>
          <w:iCs/>
          <w:sz w:val="24"/>
          <w:szCs w:val="24"/>
        </w:rPr>
        <w:t xml:space="preserve">Standard Deviation</w:t>
      </w:r>
    </w:p>
    <w:p>
      <w:pPr>
        <w:spacing w:after="200" w:line="360"/>
        <w:ind w:firstLine="720"/>
        <w:jc w:val="both"/>
      </w:pPr>
      <w:r>
        <w:rPr>
          <w:sz w:val="24"/>
          <w:szCs w:val="24"/>
        </w:rPr>
        <w:t xml:space="preserve">The Standard Deviation is employed alongside the weighted mean to determine the consistency of the participants' responses. A low standard deviation indicates high agreement among the evaluators, meaning that the perceived benefits and technical stability of the system are understood in a similar manner across different stakeholder groups in the NCR.</w:t>
      </w:r>
    </w:p>
    <w:p>
      <w:r>
        <w:rPr>
          <w:b/>
        </w:rPr>
        <w:t xml:space="preserve">One-Way Analysis of Variance (ANOVA)</w:t>
      </w:r>
    </w:p>
    <w:p>
      <w:r>
        <w:t xml:space="preserve">To determine whether the perceived quality of the AgriPrice system differs across the respondent groups (household managers, local vendors, IT professionals, and DTI personnel), the study employs One-Way ANOVA. The null hypothesis (H₀) states that the mean evaluation ratings of all groups are equal; the alternative hypothesis (H₁) states that at least one group mean differs. The test is evaluated at a 0.05 level of significance. If the computed p-value is less than 0.05, H₀ is rejected and a post-hoc Tukey HSD test identifies which groups differ; otherwise, the system is perceived consistently across all groups. The ANOVA assumptions of homogeneity of variance (Levene's test) and normality (Shapiro–Wilk test) are examined, with Welch's ANOVA or the non-parametric Kruskal–Wallis test used where these are violated. Weighted Mean and Standard Deviation are retained as descriptive statistics alongside the inferential ANOVA.</w:t>
      </w:r>
    </w:p>
    <w:p>
      <w:pPr>
        <w:spacing w:after="200" w:before="100"/>
      </w:pPr>
      <w:r>
        <w:rPr>
          <w:b/>
          <w:bCs/>
          <w:color w:val="C00000"/>
          <w:sz w:val="22"/>
          <w:szCs w:val="22"/>
        </w:rPr>
        <w:t xml:space="preserve">[CHECK — this paragraph names DTI personnel as a respondent group, while the rest of Chapter 3 names DA-AMAS personnel. Use the group that actually answered the survey, consistently.]</w:t>
      </w:r>
    </w:p>
    <w:p>
      <w:r>
        <w:rPr>
          <w:b/>
        </w:rPr>
        <w:t xml:space="preserve">Additional Forecast-Accuracy Metrics</w:t>
      </w:r>
    </w:p>
    <w:p>
      <w:r>
        <w:t xml:space="preserve">Beyond Mean Absolute Error (MAE) and Root Mean Squared Error (RMSE), the model's accuracy is also evaluated using the Mean Absolute Percentage Error (MAPE), the Coefficient of Determination (R²), and a rolling-origin evaluation computed across successive chronological blocks of the held-out test set. These are benchmarked against a naive-persistence baseline and an ARIMA(1,1,1) baseline, and the target series is checked for stationarity using the Augmented Dickey-Fuller (ADF) test. Because retail rice prices are strongly trended, R² is high for both the model and the persistence baseline; the meaningful comparison is therefore MAE and RMSE relative to the baselines. The study also reports the skill score relative to the naive baseline (1 − MAE of the model ÷ MAE of the naive forecast, in percent), the hit rate (the share of forecasts within PHP 0.50, 1.00, 1.50 and 2.00 of the actual price), directional accuracy (the share of actual price moves whose direction was forecast correctly, tested against 50% with a one-sided binomial test), and the realised coverage of the published price ranges. Whether the LSTM network adds accuracy beyond the statistical mean-reversion term is tested with a paired McNemar test on the forecasts where the two disagree.</w:t>
      </w:r>
    </w:p>
    <w:p>
      <w:r>
        <w:rPr>
          <w:b/>
        </w:rPr>
        <w:t xml:space="preserve">Rice Price Brackets and Import Charges</w:t>
      </w:r>
    </w:p>
    <w:p>
      <w:r>
        <w:t xml:space="preserve">Retail rice prices are represented as price ranges (minimum–maximum) following the Department of Agriculture's Bantay Presyo monitoring, rather than single values. For imported rice, the consumer price additionally reflects the applicable import tariff (a quarterly, price-indexed rate within a 15%–35% band under EO 105 s.2025 and IAGRTA Circular No. 2025-001 — 15% for the first quarter of 2026, reduced from the 35% of RA 11203 by EO 62 s.2024). Rice is exempt from Value-Added Tax as an agricultural product in its original state (NIRC Sec. 109), so no VAT is added.</w:t>
      </w:r>
    </w:p>
    <w:p>
      <w:pPr>
        <w:spacing w:after="200" w:before="200"/>
        <w:jc w:val="center"/>
      </w:pPr>
      <w:r>
        <w:drawing>
          <wp:inline distT="0" distB="0" distL="0" distR="0">
            <wp:extent cx="40005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304925"/>
                    </a:xfrm>
                    <a:prstGeom prst="rect">
                      <a:avLst/>
                    </a:prstGeom>
                  </pic:spPr>
                </pic:pic>
              </a:graphicData>
            </a:graphic>
          </wp:inline>
        </w:drawing>
      </w:r>
    </w:p>
    <w:p>
      <w:pPr>
        <w:spacing w:after="100" w:before="200"/>
      </w:pPr>
      <w:r>
        <w:rPr>
          <w:b/>
          <w:bCs/>
          <w:i/>
          <w:iCs/>
          <w:sz w:val="24"/>
          <w:szCs w:val="24"/>
        </w:rPr>
        <w:t xml:space="preserve">Naive Persistence Baseline</w:t>
      </w:r>
    </w:p>
    <w:p>
      <w:pPr>
        <w:spacing w:after="200" w:line="360"/>
        <w:ind w:firstLine="720"/>
        <w:jc w:val="both"/>
      </w:pPr>
      <w:r>
        <w:rPr>
          <w:sz w:val="24"/>
          <w:szCs w:val="24"/>
        </w:rPr>
        <w:t xml:space="preserve">To contextualize the predictive value of the multivariate LSTM model, its MAE and RMSE are benchmarked against a naive persistence baseline, in which the forecasted price for time t+n is assumed equal to the last observed price at time t. This comparison establishes whether the added complexity of the multivariate LSTM architecture yields a measurable accuracy improvement over a trivial forecasting approach.</w:t>
      </w:r>
    </w:p>
    <w:p>
      <w:pPr>
        <w:spacing w:after="200" w:line="360"/>
        <w:ind w:firstLine="720"/>
        <w:jc w:val="both"/>
      </w:pPr>
      <w:r>
        <w:rPr>
          <w:sz w:val="24"/>
          <w:szCs w:val="24"/>
        </w:rPr>
        <w:t xml:space="preserve">A second, classical baseline is an ARIMA(1,1,1) model (one autoregressive term, first differencing, and one moving-average term) fitted to each rice type's price series and applied walk-forward, so that every forecast uses only prices available at its origin. The system is counted as beating a baseline for a rice type only when its test-window MAE is lower.</w:t>
      </w:r>
    </w:p>
    <w:p>
      <w:pPr>
        <w:spacing w:after="200" w:before="100"/>
      </w:pPr>
      <w:r>
        <w:rPr>
          <w:b/>
          <w:bCs/>
          <w:color w:val="C00000"/>
          <w:sz w:val="22"/>
          <w:szCs w:val="22"/>
        </w:rPr>
        <w:t xml:space="preserve">[UPDATED 27 SEP 2026 — ARIMA(1,1,1) baseline paragraph added; it is implemented in model/train.py and model/ensemble.py. Delete this note before final printing.]</w:t>
      </w:r>
    </w:p>
    <w:p>
      <w:pPr>
        <w:spacing w:after="100" w:before="200"/>
      </w:pPr>
      <w:r>
        <w:rPr>
          <w:b/>
          <w:bCs/>
          <w:i/>
          <w:iCs/>
          <w:sz w:val="24"/>
          <w:szCs w:val="24"/>
        </w:rPr>
        <w:t xml:space="preserve">Mean Absolute Error (MAE)</w:t>
      </w:r>
    </w:p>
    <w:p>
      <w:pPr>
        <w:spacing w:after="200" w:line="360"/>
        <w:ind w:firstLine="720"/>
        <w:jc w:val="both"/>
      </w:pPr>
      <w:r>
        <w:rPr>
          <w:sz w:val="24"/>
          <w:szCs w:val="24"/>
        </w:rPr>
        <w:t xml:space="preserve">The Mean Absolute Error (MAE) serves as the primary indicator of the overall accuracy of the forecasting model by calculating the average magnitude of errors in the rice price predictions. Specifically, it represents the average difference in Philippine pesos between the model's predicted value and the actual retail price reported by the DA-AMAS.</w:t>
      </w:r>
    </w:p>
    <w:p>
      <w:pPr>
        <w:spacing w:after="200" w:before="200"/>
        <w:jc w:val="center"/>
      </w:pPr>
      <w:r>
        <w:drawing>
          <wp:inline distT="0" distB="0" distL="0" distR="0">
            <wp:extent cx="40005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1304925"/>
                    </a:xfrm>
                    <a:prstGeom prst="rect">
                      <a:avLst/>
                    </a:prstGeom>
                  </pic:spPr>
                </pic:pic>
              </a:graphicData>
            </a:graphic>
          </wp:inline>
        </w:drawing>
      </w:r>
    </w:p>
    <w:p>
      <w:pPr>
        <w:spacing w:after="100" w:before="200"/>
      </w:pPr>
      <w:r>
        <w:rPr>
          <w:b/>
          <w:bCs/>
          <w:i/>
          <w:iCs/>
          <w:sz w:val="24"/>
          <w:szCs w:val="24"/>
        </w:rPr>
        <w:t xml:space="preserve">Root Mean Squared Error (RMSE)</w:t>
      </w:r>
    </w:p>
    <w:p>
      <w:pPr>
        <w:spacing w:after="200" w:line="360"/>
        <w:ind w:firstLine="720"/>
        <w:jc w:val="both"/>
      </w:pPr>
      <w:r>
        <w:rPr>
          <w:sz w:val="24"/>
          <w:szCs w:val="24"/>
        </w:rPr>
        <w:t xml:space="preserve">The Root Mean Squared Error (RMSE) is used to evaluate the impact of large forecasting errors, as individual differences are squared before being averaged. This metric penalizes major deviations or outliers more heavily than smaller errors, verifying that the AgriPrice system remains reliable and stable even in cases of abrupt and extreme market shifts.</w:t>
      </w:r>
    </w:p>
    <w:p>
      <w:pPr>
        <w:spacing w:after="200" w:before="200"/>
        <w:jc w:val="center"/>
      </w:pPr>
      <w:r>
        <w:drawing>
          <wp:inline distT="0" distB="0" distL="0" distR="0">
            <wp:extent cx="40005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304925"/>
                    </a:xfrm>
                    <a:prstGeom prst="rect">
                      <a:avLst/>
                    </a:prstGeom>
                  </pic:spPr>
                </pic:pic>
              </a:graphicData>
            </a:graphic>
          </wp:inline>
        </w:drawing>
      </w:r>
    </w:p>
    <w:p>
      <w:pPr>
        <w:spacing w:after="150" w:before="300"/>
      </w:pPr>
      <w:r>
        <w:rPr>
          <w:b/>
          <w:bCs/>
          <w:sz w:val="24"/>
          <w:szCs w:val="24"/>
        </w:rPr>
        <w:t xml:space="preserve">Population and Sampling</w:t>
      </w:r>
    </w:p>
    <w:p>
      <w:pPr>
        <w:spacing w:after="200" w:line="360"/>
        <w:ind w:firstLine="720"/>
        <w:jc w:val="both"/>
      </w:pPr>
      <w:r>
        <w:rPr>
          <w:sz w:val="24"/>
          <w:szCs w:val="24"/>
        </w:rPr>
        <w:t xml:space="preserve">The researchers opted for a multi-tiered sampling strategy rather than a one-size-fits-all approach, separating the general public from the technical experts who vet the integrity of the backend. The study uses Stratified Random Sampling of the community and Purposive Sampling of the experts (Creswell &amp; Creswell, 2023).</w:t>
      </w:r>
    </w:p>
    <w:p>
      <w:pPr>
        <w:spacing w:after="200" w:line="360"/>
        <w:ind w:firstLine="720"/>
        <w:jc w:val="both"/>
      </w:pPr>
      <w:r>
        <w:rPr>
          <w:sz w:val="24"/>
          <w:szCs w:val="24"/>
        </w:rPr>
        <w:t xml:space="preserve">The first tier focuses on the NCR community, split into two strata: household managers responsible for family food procurement and budgeting, and local vendors and sari-sari store owners with decision-making authority over inventory (Bathan et al., 2025). The second tier focuses on institutional and technical validation: IT experts with experience in data science and software engineering, and DA-AMAS representatives who ensure data outputs are consistent with official market monitoring protocols.</w:t>
      </w:r>
    </w:p>
    <w:p>
      <w:r>
        <w:rPr>
          <w:b/>
        </w:rPr>
        <w:t xml:space="preserve">Sample Size Determination (Slovin's Formula)</w:t>
      </w:r>
    </w:p>
    <w:p>
      <w:r>
        <w:t xml:space="preserve">The sample size was computed using Slovin's formula: n = N / (1 + N·e²), where n is the sample size, N is the total stakeholder population, and e is the margin of error (e = 0.05). For an estimated population of N = 100, n = 100 / (1 + 100 × 0.05²) = 80, so a minimum of 80 respondents is required — satisfying the panel's requirement of at least 80 evaluators. (The actual target population N should be stated by the researchers; larger populations yield larger samples, e.g., N = 200 gives n = 134.)</w:t>
      </w:r>
    </w:p>
    <w:p>
      <w:pPr>
        <w:spacing w:after="200" w:line="360"/>
        <w:ind w:firstLine="720"/>
        <w:jc w:val="both"/>
      </w:pPr>
      <w:r>
        <w:rPr>
          <w:sz w:val="24"/>
          <w:szCs w:val="24"/>
        </w:rPr>
        <w:t xml:space="preserve">A total of eighty (80) respondents participated in the User Acceptance Testing, distributed across four stakeholder strata: household managers (n = ___), local vendors and sari-sari store owners (n = ___), IT professionals (n = ___), and DA-AMAS personnel (n = ___). Sample allocation across strata followed ___ [state your team's actual allocation logic — e.g., proportional, equal, or convenience-based allocation within each stratum].</w:t>
      </w:r>
    </w:p>
    <w:p>
      <w:pPr>
        <w:spacing w:after="200" w:before="100"/>
      </w:pPr>
      <w:r>
        <w:rPr>
          <w:b/>
          <w:bCs/>
          <w:color w:val="C00000"/>
          <w:sz w:val="22"/>
          <w:szCs w:val="22"/>
        </w:rPr>
        <w:t xml:space="preserve">[REVISION NOTE — MANDATORY — obtain the actual per-stratum headcounts from whoever ran your survey logistics and fill in the blanks above before submission. A stratified sampling claim without stated strata sizes is not a defensible stratified sampling claim.]</w:t>
      </w:r>
    </w:p>
    <w:p>
      <w:pPr>
        <w:spacing w:after="150" w:before="300"/>
      </w:pPr>
      <w:r>
        <w:rPr>
          <w:b/>
          <w:bCs/>
          <w:sz w:val="24"/>
          <w:szCs w:val="24"/>
        </w:rPr>
        <w:t xml:space="preserve">Data Gathering</w:t>
      </w:r>
    </w:p>
    <w:p>
      <w:pPr>
        <w:spacing w:after="200" w:line="360"/>
        <w:ind w:firstLine="720"/>
        <w:jc w:val="both"/>
      </w:pPr>
      <w:r>
        <w:rPr>
          <w:sz w:val="24"/>
          <w:szCs w:val="24"/>
        </w:rPr>
        <w:t xml:space="preserve">The primary collection instrument used in this study is the structured questionnaire developed by the researchers to evaluate the AgriPrice system from three specialized perspectives. The household manager version tests "lead-time awareness" and practical usefulness in day-to-day meal budgeting. The local vendor version focuses on commercial viability and inventory restocking decisions. The technical version for IT professionals and DA-AMAS personnel audits the system's backend integrity, functional correctness, and reliability based on the ISO 25010 standard. All instruments utilize a 4-point Likert scale and undergo expert review before administration.</w:t>
      </w:r>
    </w:p>
    <w:p>
      <w:pPr>
        <w:spacing w:after="200" w:line="360"/>
        <w:ind w:firstLine="720"/>
        <w:jc w:val="both"/>
      </w:pPr>
      <w:r>
        <w:rPr>
          <w:sz w:val="24"/>
          <w:szCs w:val="24"/>
        </w:rPr>
        <w:t xml:space="preserve">The actual gathering process begins with a live, hands-on demonstration of the AgriPrice web dashboard, showcasing the automated PDF-based extraction of DA-AMAS price points, the integration of diesel and currency shifters, and the visualization of the 48-to-72-hour rice price forecasts, ensuring participants base their ratings on direct observation rather than conceptual descriptions alone. Participants complete evaluation forms at their own pace after the demonstration; all responses are strictly confidential and completed questionnaires are collected immediately.</w:t>
      </w:r>
    </w:p>
    <w:p>
      <w:pPr>
        <w:spacing w:after="150" w:before="300"/>
      </w:pPr>
      <w:r>
        <w:rPr>
          <w:b/>
          <w:bCs/>
          <w:sz w:val="24"/>
          <w:szCs w:val="24"/>
        </w:rPr>
        <w:t xml:space="preserve">Research Ethics</w:t>
      </w:r>
    </w:p>
    <w:p>
      <w:pPr>
        <w:spacing w:after="200" w:line="360"/>
        <w:ind w:firstLine="720"/>
        <w:jc w:val="both"/>
      </w:pPr>
      <w:r>
        <w:rPr>
          <w:sz w:val="24"/>
          <w:szCs w:val="24"/>
        </w:rPr>
        <w:t xml:space="preserve">The researchers are dedicated to upholding the highest ethical standards during the study. Prior to the start of each system demonstration or survey, participants are asked for their informed consent and informed that they can withdraw at any time, without penalty. No personal identifiable information (PII) is collected to protect the privacy of households and vendors. All survey responses are anonymized and securely stored for academic analysis.</w:t>
      </w:r>
    </w:p>
    <w:p>
      <w:pPr>
        <w:spacing w:after="200" w:line="360"/>
        <w:ind w:firstLine="720"/>
        <w:jc w:val="both"/>
      </w:pPr>
      <w:r>
        <w:rPr>
          <w:sz w:val="24"/>
          <w:szCs w:val="24"/>
        </w:rPr>
        <w:t xml:space="preserve">The study also preserves the institution's integrity by ensuring that the automated extraction modules are built in such a way as not to interfere with government servers. In addition, because the system uses AI-based predictions, the researchers include a Non-Liability Disclosure: participants are explicitly informed that the 48-to-72-hour forecasts are decision-support tools, not firm guarantees of future prices.</w:t>
      </w:r>
    </w:p>
    <w:p>
      <w:pPr>
        <w:spacing w:after="100" w:before="200"/>
      </w:pPr>
      <w:r>
        <w:rPr>
          <w:b/>
          <w:bCs/>
          <w:i/>
          <w:iCs/>
          <w:sz w:val="24"/>
          <w:szCs w:val="24"/>
        </w:rPr>
        <w:t xml:space="preserve">Security and Data Handling.</w:t>
      </w:r>
    </w:p>
    <w:p>
      <w:pPr>
        <w:spacing w:after="200" w:line="360"/>
        <w:ind w:firstLine="720"/>
        <w:jc w:val="both"/>
      </w:pPr>
      <w:r>
        <w:rPr>
          <w:sz w:val="24"/>
          <w:szCs w:val="24"/>
        </w:rPr>
        <w:t xml:space="preserve">Administrative access to the AgriPrice backend panel is protected by an authentication layer restricting entry to authorized IT personnel and DA-AMAS representatives; unauthenticated users cannot access extraction logs, system diagnostics, or data-auditing views. As of the current development stage, the exchange-rate data is retrieved from a public, key-less API endpoint, so no financial API credential is stored in the application script or configuration. Similarly, the local SQLite3 database does not yet enforce restrictive file-system permissions; applying least-privilege access controls to the database file is likewise an identified pre-deployment requirement. These two items are treated as outstanding technical debt rather than completed safeguards, and are disclosed here in the interest of methodological transparency.</w:t>
      </w:r>
    </w:p>
    <w:p>
      <w:pPr>
        <w:spacing w:after="200" w:line="360"/>
        <w:ind w:firstLine="720"/>
        <w:jc w:val="both"/>
      </w:pPr>
      <w:r>
        <w:rPr>
          <w:sz w:val="24"/>
          <w:szCs w:val="24"/>
        </w:rPr>
        <w:t xml:space="preserve">In terms of regulatory alignment, the system does not collect personally identifiable information from household, vendor, or institutional evaluators during UAT, consistent with the requirements of the Data Privacy Act of 2012 (RA 10173). The public-facing system does not log end-user IP addresses. The administrative panel keeps an in-memory System Logs buffer that records administrator sign-in events — including the originating IP address and timestamp — for operational security; these entries are not persisted across server restarts and contain no evaluator or end-user personal data.</w:t>
      </w:r>
    </w:p>
    <w:p>
      <w:pPr>
        <w:spacing w:after="200" w:before="100"/>
      </w:pPr>
      <w:r>
        <w:rPr>
          <w:b/>
          <w:bCs/>
          <w:color w:val="C00000"/>
          <w:sz w:val="22"/>
          <w:szCs w:val="22"/>
        </w:rPr>
        <w:t xml:space="preserve">[REVISION NOTE — new subsection added per panel requirement. MANDATORY before defense: apply restrictive file permissions to the SQLite3 database file. (The exchange-rate API is key-less, so there is no hardcoded credential to migrate.) CONFIRM: whether the admin panel logs IP/timestamp data, to complete the RA 10173 sentence above — do not leave the blank unresolved in your final submission.]</w:t>
      </w:r>
    </w:p>
    <w:p>
      <w:pPr>
        <w:pageBreakBefore/>
        <w:spacing w:after="300" w:before="500"/>
        <w:jc w:val="center"/>
      </w:pPr>
      <w:r>
        <w:rPr>
          <w:b/>
          <w:bCs/>
          <w:sz w:val="28"/>
          <w:szCs w:val="28"/>
        </w:rPr>
        <w:t xml:space="preserve">CHAPTER 4 – RESULTS AND DISCUSSION</w:t>
      </w:r>
    </w:p>
    <w:p>
      <w:pPr>
        <w:spacing w:after="200" w:before="100"/>
      </w:pPr>
      <w:r>
        <w:rPr>
          <w:b/>
          <w:bCs/>
          <w:color w:val="C00000"/>
          <w:sz w:val="22"/>
          <w:szCs w:val="22"/>
        </w:rPr>
        <w:t xml:space="preserve">[DRAFT 27 SEP 2026 — the technical results below are taken from model/meta.json (training run of September 26, 2026, data through September 26, 2026) and can be re-checked in Admin → Metrics. The survey results for Statements of the Problem 3 to 6 must be filled in from the team's data. If the team already has a Chapter 4, merge these sections into it.]</w:t>
      </w:r>
    </w:p>
    <w:p>
      <w:pPr>
        <w:spacing w:after="150" w:before="300"/>
      </w:pPr>
      <w:r>
        <w:rPr>
          <w:b/>
          <w:bCs/>
          <w:sz w:val="24"/>
          <w:szCs w:val="24"/>
        </w:rPr>
        <w:t xml:space="preserve">Statement of the Problem 1: The Forecasting Model</w:t>
      </w:r>
    </w:p>
    <w:p>
      <w:pPr>
        <w:spacing w:after="200" w:line="360"/>
        <w:ind w:firstLine="720"/>
        <w:jc w:val="both"/>
      </w:pPr>
      <w:r>
        <w:rPr>
          <w:sz w:val="24"/>
          <w:szCs w:val="24"/>
        </w:rPr>
        <w:t xml:space="preserve">The model was evaluated on the held-out test window from October 7, 2025 to September 24, 2026, which it never saw during training or model selection: 353 forecast origins per rice type, each forecasting the next three days. Table 1 reports the published forecast (the adaptive ensemble) against the naive persistence and ARIMA(1,1,1) baselines.</w:t>
      </w:r>
    </w:p>
    <w:p>
      <w:pPr>
        <w:spacing w:after="100" w:before="200"/>
      </w:pPr>
      <w:r>
        <w:rPr>
          <w:b/>
          <w:bCs/>
          <w:i/>
          <w:iCs/>
          <w:sz w:val="24"/>
          <w:szCs w:val="24"/>
        </w:rPr>
        <w:t xml:space="preserve">Table 1. Test-window accuracy of the published forecast, per rice type (October 7, 2025 – September 24,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6.666666666666668%"/>
            <w:shd w:fill="1F2937" w:val="clear"/>
            <w:tcMar>
              <w:top w:type="dxa" w:w="100"/>
              <w:left w:type="dxa" w:w="100"/>
              <w:bottom w:type="dxa" w:w="100"/>
              <w:right w:type="dxa" w:w="100"/>
            </w:tcMar>
          </w:tcPr>
          <w:p>
            <w:r>
              <w:rPr>
                <w:b/>
                <w:bCs/>
                <w:color w:val="FFFFFF"/>
                <w:sz w:val="20"/>
                <w:szCs w:val="20"/>
              </w:rPr>
              <w:t xml:space="preserve">Rice type</w:t>
            </w:r>
          </w:p>
        </w:tc>
        <w:tc>
          <w:tcPr>
            <w:tcW w:type="pct" w:w="16.666666666666668%"/>
            <w:shd w:fill="1F2937" w:val="clear"/>
            <w:tcMar>
              <w:top w:type="dxa" w:w="100"/>
              <w:left w:type="dxa" w:w="100"/>
              <w:bottom w:type="dxa" w:w="100"/>
              <w:right w:type="dxa" w:w="100"/>
            </w:tcMar>
          </w:tcPr>
          <w:p>
            <w:r>
              <w:rPr>
                <w:b/>
                <w:bCs/>
                <w:color w:val="FFFFFF"/>
                <w:sz w:val="20"/>
                <w:szCs w:val="20"/>
              </w:rPr>
              <w:t xml:space="preserve">MAE (PHP/kg)</w:t>
            </w:r>
          </w:p>
        </w:tc>
        <w:tc>
          <w:tcPr>
            <w:tcW w:type="pct" w:w="16.666666666666668%"/>
            <w:shd w:fill="1F2937" w:val="clear"/>
            <w:tcMar>
              <w:top w:type="dxa" w:w="100"/>
              <w:left w:type="dxa" w:w="100"/>
              <w:bottom w:type="dxa" w:w="100"/>
              <w:right w:type="dxa" w:w="100"/>
            </w:tcMar>
          </w:tcPr>
          <w:p>
            <w:r>
              <w:rPr>
                <w:b/>
                <w:bCs/>
                <w:color w:val="FFFFFF"/>
                <w:sz w:val="20"/>
                <w:szCs w:val="20"/>
              </w:rPr>
              <w:t xml:space="preserve">Naive MAE</w:t>
            </w:r>
          </w:p>
        </w:tc>
        <w:tc>
          <w:tcPr>
            <w:tcW w:type="pct" w:w="16.666666666666668%"/>
            <w:shd w:fill="1F2937" w:val="clear"/>
            <w:tcMar>
              <w:top w:type="dxa" w:w="100"/>
              <w:left w:type="dxa" w:w="100"/>
              <w:bottom w:type="dxa" w:w="100"/>
              <w:right w:type="dxa" w:w="100"/>
            </w:tcMar>
          </w:tcPr>
          <w:p>
            <w:r>
              <w:rPr>
                <w:b/>
                <w:bCs/>
                <w:color w:val="FFFFFF"/>
                <w:sz w:val="20"/>
                <w:szCs w:val="20"/>
              </w:rPr>
              <w:t xml:space="preserve">ARIMA MAE</w:t>
            </w:r>
          </w:p>
        </w:tc>
        <w:tc>
          <w:tcPr>
            <w:tcW w:type="pct" w:w="16.666666666666668%"/>
            <w:shd w:fill="1F2937" w:val="clear"/>
            <w:tcMar>
              <w:top w:type="dxa" w:w="100"/>
              <w:left w:type="dxa" w:w="100"/>
              <w:bottom w:type="dxa" w:w="100"/>
              <w:right w:type="dxa" w:w="100"/>
            </w:tcMar>
          </w:tcPr>
          <w:p>
            <w:r>
              <w:rPr>
                <w:b/>
                <w:bCs/>
                <w:color w:val="FFFFFF"/>
                <w:sz w:val="20"/>
                <w:szCs w:val="20"/>
              </w:rPr>
              <w:t xml:space="preserve">Skill vs. naive</w:t>
            </w:r>
          </w:p>
        </w:tc>
        <w:tc>
          <w:tcPr>
            <w:tcW w:type="pct" w:w="16.666666666666668%"/>
            <w:shd w:fill="1F2937" w:val="clear"/>
            <w:tcMar>
              <w:top w:type="dxa" w:w="100"/>
              <w:left w:type="dxa" w:w="100"/>
              <w:bottom w:type="dxa" w:w="100"/>
              <w:right w:type="dxa" w:w="100"/>
            </w:tcMar>
          </w:tcPr>
          <w:p>
            <w:r>
              <w:rPr>
                <w:b/>
                <w:bCs/>
                <w:color w:val="FFFFFF"/>
                <w:sz w:val="20"/>
                <w:szCs w:val="20"/>
              </w:rPr>
              <w:t xml:space="preserve">Day-1 direction</w:t>
            </w:r>
          </w:p>
        </w:tc>
      </w:tr>
      <w:tr>
        <w:tc>
          <w:tcPr>
            <w:tcW w:type="pct" w:w="16.666666666666668%"/>
            <w:tcMar>
              <w:top w:type="dxa" w:w="100"/>
              <w:left w:type="dxa" w:w="100"/>
              <w:bottom w:type="dxa" w:w="100"/>
              <w:right w:type="dxa" w:w="100"/>
            </w:tcMar>
          </w:tcPr>
          <w:p>
            <w:r>
              <w:rPr>
                <w:sz w:val="20"/>
                <w:szCs w:val="20"/>
              </w:rPr>
              <w:t xml:space="preserve">Local Well-Milled</w:t>
            </w:r>
          </w:p>
        </w:tc>
        <w:tc>
          <w:tcPr>
            <w:tcW w:type="pct" w:w="16.666666666666668%"/>
            <w:tcMar>
              <w:top w:type="dxa" w:w="100"/>
              <w:left w:type="dxa" w:w="100"/>
              <w:bottom w:type="dxa" w:w="100"/>
              <w:right w:type="dxa" w:w="100"/>
            </w:tcMar>
          </w:tcPr>
          <w:p>
            <w:r>
              <w:rPr>
                <w:sz w:val="20"/>
                <w:szCs w:val="20"/>
              </w:rPr>
              <w:t xml:space="preserve">0.280</w:t>
            </w:r>
          </w:p>
        </w:tc>
        <w:tc>
          <w:tcPr>
            <w:tcW w:type="pct" w:w="16.666666666666668%"/>
            <w:tcMar>
              <w:top w:type="dxa" w:w="100"/>
              <w:left w:type="dxa" w:w="100"/>
              <w:bottom w:type="dxa" w:w="100"/>
              <w:right w:type="dxa" w:w="100"/>
            </w:tcMar>
          </w:tcPr>
          <w:p>
            <w:r>
              <w:rPr>
                <w:sz w:val="20"/>
                <w:szCs w:val="20"/>
              </w:rPr>
              <w:t xml:space="preserve">0.325</w:t>
            </w:r>
          </w:p>
        </w:tc>
        <w:tc>
          <w:tcPr>
            <w:tcW w:type="pct" w:w="16.666666666666668%"/>
            <w:tcMar>
              <w:top w:type="dxa" w:w="100"/>
              <w:left w:type="dxa" w:w="100"/>
              <w:bottom w:type="dxa" w:w="100"/>
              <w:right w:type="dxa" w:w="100"/>
            </w:tcMar>
          </w:tcPr>
          <w:p>
            <w:r>
              <w:rPr>
                <w:sz w:val="20"/>
                <w:szCs w:val="20"/>
              </w:rPr>
              <w:t xml:space="preserve">0.284</w:t>
            </w:r>
          </w:p>
        </w:tc>
        <w:tc>
          <w:tcPr>
            <w:tcW w:type="pct" w:w="16.666666666666668%"/>
            <w:tcMar>
              <w:top w:type="dxa" w:w="100"/>
              <w:left w:type="dxa" w:w="100"/>
              <w:bottom w:type="dxa" w:w="100"/>
              <w:right w:type="dxa" w:w="100"/>
            </w:tcMar>
          </w:tcPr>
          <w:p>
            <w:r>
              <w:rPr>
                <w:sz w:val="20"/>
                <w:szCs w:val="20"/>
              </w:rPr>
              <w:t xml:space="preserve">+13.9%</w:t>
            </w:r>
          </w:p>
        </w:tc>
        <w:tc>
          <w:tcPr>
            <w:tcW w:type="pct" w:w="16.666666666666668%"/>
            <w:tcMar>
              <w:top w:type="dxa" w:w="100"/>
              <w:left w:type="dxa" w:w="100"/>
              <w:bottom w:type="dxa" w:w="100"/>
              <w:right w:type="dxa" w:w="100"/>
            </w:tcMar>
          </w:tcPr>
          <w:p>
            <w:r>
              <w:rPr>
                <w:sz w:val="20"/>
                <w:szCs w:val="20"/>
              </w:rPr>
              <w:t xml:space="preserve">61.5%</w:t>
            </w:r>
          </w:p>
        </w:tc>
      </w:tr>
      <w:tr>
        <w:tc>
          <w:tcPr>
            <w:tcW w:type="pct" w:w="16.666666666666668%"/>
            <w:tcMar>
              <w:top w:type="dxa" w:w="100"/>
              <w:left w:type="dxa" w:w="100"/>
              <w:bottom w:type="dxa" w:w="100"/>
              <w:right w:type="dxa" w:w="100"/>
            </w:tcMar>
          </w:tcPr>
          <w:p>
            <w:r>
              <w:rPr>
                <w:sz w:val="20"/>
                <w:szCs w:val="20"/>
              </w:rPr>
              <w:t xml:space="preserve">Local Regular</w:t>
            </w:r>
          </w:p>
        </w:tc>
        <w:tc>
          <w:tcPr>
            <w:tcW w:type="pct" w:w="16.666666666666668%"/>
            <w:tcMar>
              <w:top w:type="dxa" w:w="100"/>
              <w:left w:type="dxa" w:w="100"/>
              <w:bottom w:type="dxa" w:w="100"/>
              <w:right w:type="dxa" w:w="100"/>
            </w:tcMar>
          </w:tcPr>
          <w:p>
            <w:r>
              <w:rPr>
                <w:sz w:val="20"/>
                <w:szCs w:val="20"/>
              </w:rPr>
              <w:t xml:space="preserve">0.264</w:t>
            </w:r>
          </w:p>
        </w:tc>
        <w:tc>
          <w:tcPr>
            <w:tcW w:type="pct" w:w="16.666666666666668%"/>
            <w:tcMar>
              <w:top w:type="dxa" w:w="100"/>
              <w:left w:type="dxa" w:w="100"/>
              <w:bottom w:type="dxa" w:w="100"/>
              <w:right w:type="dxa" w:w="100"/>
            </w:tcMar>
          </w:tcPr>
          <w:p>
            <w:r>
              <w:rPr>
                <w:sz w:val="20"/>
                <w:szCs w:val="20"/>
              </w:rPr>
              <w:t xml:space="preserve">0.314</w:t>
            </w:r>
          </w:p>
        </w:tc>
        <w:tc>
          <w:tcPr>
            <w:tcW w:type="pct" w:w="16.666666666666668%"/>
            <w:tcMar>
              <w:top w:type="dxa" w:w="100"/>
              <w:left w:type="dxa" w:w="100"/>
              <w:bottom w:type="dxa" w:w="100"/>
              <w:right w:type="dxa" w:w="100"/>
            </w:tcMar>
          </w:tcPr>
          <w:p>
            <w:r>
              <w:rPr>
                <w:sz w:val="20"/>
                <w:szCs w:val="20"/>
              </w:rPr>
              <w:t xml:space="preserve">0.277</w:t>
            </w:r>
          </w:p>
        </w:tc>
        <w:tc>
          <w:tcPr>
            <w:tcW w:type="pct" w:w="16.666666666666668%"/>
            <w:tcMar>
              <w:top w:type="dxa" w:w="100"/>
              <w:left w:type="dxa" w:w="100"/>
              <w:bottom w:type="dxa" w:w="100"/>
              <w:right w:type="dxa" w:w="100"/>
            </w:tcMar>
          </w:tcPr>
          <w:p>
            <w:r>
              <w:rPr>
                <w:sz w:val="20"/>
                <w:szCs w:val="20"/>
              </w:rPr>
              <w:t xml:space="preserve">+15.7%</w:t>
            </w:r>
          </w:p>
        </w:tc>
        <w:tc>
          <w:tcPr>
            <w:tcW w:type="pct" w:w="16.666666666666668%"/>
            <w:tcMar>
              <w:top w:type="dxa" w:w="100"/>
              <w:left w:type="dxa" w:w="100"/>
              <w:bottom w:type="dxa" w:w="100"/>
              <w:right w:type="dxa" w:w="100"/>
            </w:tcMar>
          </w:tcPr>
          <w:p>
            <w:r>
              <w:rPr>
                <w:sz w:val="20"/>
                <w:szCs w:val="20"/>
              </w:rPr>
              <w:t xml:space="preserve">62.3%</w:t>
            </w:r>
          </w:p>
        </w:tc>
      </w:tr>
      <w:tr>
        <w:tc>
          <w:tcPr>
            <w:tcW w:type="pct" w:w="16.666666666666668%"/>
            <w:tcMar>
              <w:top w:type="dxa" w:w="100"/>
              <w:left w:type="dxa" w:w="100"/>
              <w:bottom w:type="dxa" w:w="100"/>
              <w:right w:type="dxa" w:w="100"/>
            </w:tcMar>
          </w:tcPr>
          <w:p>
            <w:r>
              <w:rPr>
                <w:sz w:val="20"/>
                <w:szCs w:val="20"/>
              </w:rPr>
              <w:t xml:space="preserve">Local Premium</w:t>
            </w:r>
          </w:p>
        </w:tc>
        <w:tc>
          <w:tcPr>
            <w:tcW w:type="pct" w:w="16.666666666666668%"/>
            <w:tcMar>
              <w:top w:type="dxa" w:w="100"/>
              <w:left w:type="dxa" w:w="100"/>
              <w:bottom w:type="dxa" w:w="100"/>
              <w:right w:type="dxa" w:w="100"/>
            </w:tcMar>
          </w:tcPr>
          <w:p>
            <w:r>
              <w:rPr>
                <w:sz w:val="20"/>
                <w:szCs w:val="20"/>
              </w:rPr>
              <w:t xml:space="preserve">0.263</w:t>
            </w:r>
          </w:p>
        </w:tc>
        <w:tc>
          <w:tcPr>
            <w:tcW w:type="pct" w:w="16.666666666666668%"/>
            <w:tcMar>
              <w:top w:type="dxa" w:w="100"/>
              <w:left w:type="dxa" w:w="100"/>
              <w:bottom w:type="dxa" w:w="100"/>
              <w:right w:type="dxa" w:w="100"/>
            </w:tcMar>
          </w:tcPr>
          <w:p>
            <w:r>
              <w:rPr>
                <w:sz w:val="20"/>
                <w:szCs w:val="20"/>
              </w:rPr>
              <w:t xml:space="preserve">0.294</w:t>
            </w:r>
          </w:p>
        </w:tc>
        <w:tc>
          <w:tcPr>
            <w:tcW w:type="pct" w:w="16.666666666666668%"/>
            <w:tcMar>
              <w:top w:type="dxa" w:w="100"/>
              <w:left w:type="dxa" w:w="100"/>
              <w:bottom w:type="dxa" w:w="100"/>
              <w:right w:type="dxa" w:w="100"/>
            </w:tcMar>
          </w:tcPr>
          <w:p>
            <w:r>
              <w:rPr>
                <w:sz w:val="20"/>
                <w:szCs w:val="20"/>
              </w:rPr>
              <w:t xml:space="preserve">0.271</w:t>
            </w:r>
          </w:p>
        </w:tc>
        <w:tc>
          <w:tcPr>
            <w:tcW w:type="pct" w:w="16.666666666666668%"/>
            <w:tcMar>
              <w:top w:type="dxa" w:w="100"/>
              <w:left w:type="dxa" w:w="100"/>
              <w:bottom w:type="dxa" w:w="100"/>
              <w:right w:type="dxa" w:w="100"/>
            </w:tcMar>
          </w:tcPr>
          <w:p>
            <w:r>
              <w:rPr>
                <w:sz w:val="20"/>
                <w:szCs w:val="20"/>
              </w:rPr>
              <w:t xml:space="preserve">+10.3%</w:t>
            </w:r>
          </w:p>
        </w:tc>
        <w:tc>
          <w:tcPr>
            <w:tcW w:type="pct" w:w="16.666666666666668%"/>
            <w:tcMar>
              <w:top w:type="dxa" w:w="100"/>
              <w:left w:type="dxa" w:w="100"/>
              <w:bottom w:type="dxa" w:w="100"/>
              <w:right w:type="dxa" w:w="100"/>
            </w:tcMar>
          </w:tcPr>
          <w:p>
            <w:r>
              <w:rPr>
                <w:sz w:val="20"/>
                <w:szCs w:val="20"/>
              </w:rPr>
              <w:t xml:space="preserve">59.4%</w:t>
            </w:r>
          </w:p>
        </w:tc>
      </w:tr>
      <w:tr>
        <w:tc>
          <w:tcPr>
            <w:tcW w:type="pct" w:w="16.666666666666668%"/>
            <w:tcMar>
              <w:top w:type="dxa" w:w="100"/>
              <w:left w:type="dxa" w:w="100"/>
              <w:bottom w:type="dxa" w:w="100"/>
              <w:right w:type="dxa" w:w="100"/>
            </w:tcMar>
          </w:tcPr>
          <w:p>
            <w:r>
              <w:rPr>
                <w:sz w:val="20"/>
                <w:szCs w:val="20"/>
              </w:rPr>
              <w:t xml:space="preserve">Local Special</w:t>
            </w:r>
          </w:p>
        </w:tc>
        <w:tc>
          <w:tcPr>
            <w:tcW w:type="pct" w:w="16.666666666666668%"/>
            <w:tcMar>
              <w:top w:type="dxa" w:w="100"/>
              <w:left w:type="dxa" w:w="100"/>
              <w:bottom w:type="dxa" w:w="100"/>
              <w:right w:type="dxa" w:w="100"/>
            </w:tcMar>
          </w:tcPr>
          <w:p>
            <w:r>
              <w:rPr>
                <w:sz w:val="20"/>
                <w:szCs w:val="20"/>
              </w:rPr>
              <w:t xml:space="preserve">0.215</w:t>
            </w:r>
          </w:p>
        </w:tc>
        <w:tc>
          <w:tcPr>
            <w:tcW w:type="pct" w:w="16.666666666666668%"/>
            <w:tcMar>
              <w:top w:type="dxa" w:w="100"/>
              <w:left w:type="dxa" w:w="100"/>
              <w:bottom w:type="dxa" w:w="100"/>
              <w:right w:type="dxa" w:w="100"/>
            </w:tcMar>
          </w:tcPr>
          <w:p>
            <w:r>
              <w:rPr>
                <w:sz w:val="20"/>
                <w:szCs w:val="20"/>
              </w:rPr>
              <w:t xml:space="preserve">0.255</w:t>
            </w:r>
          </w:p>
        </w:tc>
        <w:tc>
          <w:tcPr>
            <w:tcW w:type="pct" w:w="16.666666666666668%"/>
            <w:tcMar>
              <w:top w:type="dxa" w:w="100"/>
              <w:left w:type="dxa" w:w="100"/>
              <w:bottom w:type="dxa" w:w="100"/>
              <w:right w:type="dxa" w:w="100"/>
            </w:tcMar>
          </w:tcPr>
          <w:p>
            <w:r>
              <w:rPr>
                <w:sz w:val="20"/>
                <w:szCs w:val="20"/>
              </w:rPr>
              <w:t xml:space="preserve">0.225</w:t>
            </w:r>
          </w:p>
        </w:tc>
        <w:tc>
          <w:tcPr>
            <w:tcW w:type="pct" w:w="16.666666666666668%"/>
            <w:tcMar>
              <w:top w:type="dxa" w:w="100"/>
              <w:left w:type="dxa" w:w="100"/>
              <w:bottom w:type="dxa" w:w="100"/>
              <w:right w:type="dxa" w:w="100"/>
            </w:tcMar>
          </w:tcPr>
          <w:p>
            <w:r>
              <w:rPr>
                <w:sz w:val="20"/>
                <w:szCs w:val="20"/>
              </w:rPr>
              <w:t xml:space="preserve">+15.6%</w:t>
            </w:r>
          </w:p>
        </w:tc>
        <w:tc>
          <w:tcPr>
            <w:tcW w:type="pct" w:w="16.666666666666668%"/>
            <w:tcMar>
              <w:top w:type="dxa" w:w="100"/>
              <w:left w:type="dxa" w:w="100"/>
              <w:bottom w:type="dxa" w:w="100"/>
              <w:right w:type="dxa" w:w="100"/>
            </w:tcMar>
          </w:tcPr>
          <w:p>
            <w:r>
              <w:rPr>
                <w:sz w:val="20"/>
                <w:szCs w:val="20"/>
              </w:rPr>
              <w:t xml:space="preserve">57.9%</w:t>
            </w:r>
          </w:p>
        </w:tc>
      </w:tr>
      <w:tr>
        <w:tc>
          <w:tcPr>
            <w:tcW w:type="pct" w:w="16.666666666666668%"/>
            <w:tcMar>
              <w:top w:type="dxa" w:w="100"/>
              <w:left w:type="dxa" w:w="100"/>
              <w:bottom w:type="dxa" w:w="100"/>
              <w:right w:type="dxa" w:w="100"/>
            </w:tcMar>
          </w:tcPr>
          <w:p>
            <w:r>
              <w:rPr>
                <w:sz w:val="20"/>
                <w:szCs w:val="20"/>
              </w:rPr>
              <w:t xml:space="preserve">Imported Well-Milled</w:t>
            </w:r>
          </w:p>
        </w:tc>
        <w:tc>
          <w:tcPr>
            <w:tcW w:type="pct" w:w="16.666666666666668%"/>
            <w:tcMar>
              <w:top w:type="dxa" w:w="100"/>
              <w:left w:type="dxa" w:w="100"/>
              <w:bottom w:type="dxa" w:w="100"/>
              <w:right w:type="dxa" w:w="100"/>
            </w:tcMar>
          </w:tcPr>
          <w:p>
            <w:r>
              <w:rPr>
                <w:sz w:val="20"/>
                <w:szCs w:val="20"/>
              </w:rPr>
              <w:t xml:space="preserve">0.283</w:t>
            </w:r>
          </w:p>
        </w:tc>
        <w:tc>
          <w:tcPr>
            <w:tcW w:type="pct" w:w="16.666666666666668%"/>
            <w:tcMar>
              <w:top w:type="dxa" w:w="100"/>
              <w:left w:type="dxa" w:w="100"/>
              <w:bottom w:type="dxa" w:w="100"/>
              <w:right w:type="dxa" w:w="100"/>
            </w:tcMar>
          </w:tcPr>
          <w:p>
            <w:r>
              <w:rPr>
                <w:sz w:val="20"/>
                <w:szCs w:val="20"/>
              </w:rPr>
              <w:t xml:space="preserve">0.292</w:t>
            </w:r>
          </w:p>
        </w:tc>
        <w:tc>
          <w:tcPr>
            <w:tcW w:type="pct" w:w="16.666666666666668%"/>
            <w:tcMar>
              <w:top w:type="dxa" w:w="100"/>
              <w:left w:type="dxa" w:w="100"/>
              <w:bottom w:type="dxa" w:w="100"/>
              <w:right w:type="dxa" w:w="100"/>
            </w:tcMar>
          </w:tcPr>
          <w:p>
            <w:r>
              <w:rPr>
                <w:sz w:val="20"/>
                <w:szCs w:val="20"/>
              </w:rPr>
              <w:t xml:space="preserve">0.297</w:t>
            </w:r>
          </w:p>
        </w:tc>
        <w:tc>
          <w:tcPr>
            <w:tcW w:type="pct" w:w="16.666666666666668%"/>
            <w:tcMar>
              <w:top w:type="dxa" w:w="100"/>
              <w:left w:type="dxa" w:w="100"/>
              <w:bottom w:type="dxa" w:w="100"/>
              <w:right w:type="dxa" w:w="100"/>
            </w:tcMar>
          </w:tcPr>
          <w:p>
            <w:r>
              <w:rPr>
                <w:sz w:val="20"/>
                <w:szCs w:val="20"/>
              </w:rPr>
              <w:t xml:space="preserve">+3.2%</w:t>
            </w:r>
          </w:p>
        </w:tc>
        <w:tc>
          <w:tcPr>
            <w:tcW w:type="pct" w:w="16.666666666666668%"/>
            <w:tcMar>
              <w:top w:type="dxa" w:w="100"/>
              <w:left w:type="dxa" w:w="100"/>
              <w:bottom w:type="dxa" w:w="100"/>
              <w:right w:type="dxa" w:w="100"/>
            </w:tcMar>
          </w:tcPr>
          <w:p>
            <w:r>
              <w:rPr>
                <w:sz w:val="20"/>
                <w:szCs w:val="20"/>
              </w:rPr>
              <w:t xml:space="preserve">65.6%</w:t>
            </w:r>
          </w:p>
        </w:tc>
      </w:tr>
      <w:tr>
        <w:tc>
          <w:tcPr>
            <w:tcW w:type="pct" w:w="16.666666666666668%"/>
            <w:tcMar>
              <w:top w:type="dxa" w:w="100"/>
              <w:left w:type="dxa" w:w="100"/>
              <w:bottom w:type="dxa" w:w="100"/>
              <w:right w:type="dxa" w:w="100"/>
            </w:tcMar>
          </w:tcPr>
          <w:p>
            <w:r>
              <w:rPr>
                <w:sz w:val="20"/>
                <w:szCs w:val="20"/>
              </w:rPr>
              <w:t xml:space="preserve">Imported Regular</w:t>
            </w:r>
          </w:p>
        </w:tc>
        <w:tc>
          <w:tcPr>
            <w:tcW w:type="pct" w:w="16.666666666666668%"/>
            <w:tcMar>
              <w:top w:type="dxa" w:w="100"/>
              <w:left w:type="dxa" w:w="100"/>
              <w:bottom w:type="dxa" w:w="100"/>
              <w:right w:type="dxa" w:w="100"/>
            </w:tcMar>
          </w:tcPr>
          <w:p>
            <w:r>
              <w:rPr>
                <w:sz w:val="20"/>
                <w:szCs w:val="20"/>
              </w:rPr>
              <w:t xml:space="preserve">0.329</w:t>
            </w:r>
          </w:p>
        </w:tc>
        <w:tc>
          <w:tcPr>
            <w:tcW w:type="pct" w:w="16.666666666666668%"/>
            <w:tcMar>
              <w:top w:type="dxa" w:w="100"/>
              <w:left w:type="dxa" w:w="100"/>
              <w:bottom w:type="dxa" w:w="100"/>
              <w:right w:type="dxa" w:w="100"/>
            </w:tcMar>
          </w:tcPr>
          <w:p>
            <w:r>
              <w:rPr>
                <w:sz w:val="20"/>
                <w:szCs w:val="20"/>
              </w:rPr>
              <w:t xml:space="preserve">0.346</w:t>
            </w:r>
          </w:p>
        </w:tc>
        <w:tc>
          <w:tcPr>
            <w:tcW w:type="pct" w:w="16.666666666666668%"/>
            <w:tcMar>
              <w:top w:type="dxa" w:w="100"/>
              <w:left w:type="dxa" w:w="100"/>
              <w:bottom w:type="dxa" w:w="100"/>
              <w:right w:type="dxa" w:w="100"/>
            </w:tcMar>
          </w:tcPr>
          <w:p>
            <w:r>
              <w:rPr>
                <w:sz w:val="20"/>
                <w:szCs w:val="20"/>
              </w:rPr>
              <w:t xml:space="preserve">0.353</w:t>
            </w:r>
          </w:p>
        </w:tc>
        <w:tc>
          <w:tcPr>
            <w:tcW w:type="pct" w:w="16.666666666666668%"/>
            <w:tcMar>
              <w:top w:type="dxa" w:w="100"/>
              <w:left w:type="dxa" w:w="100"/>
              <w:bottom w:type="dxa" w:w="100"/>
              <w:right w:type="dxa" w:w="100"/>
            </w:tcMar>
          </w:tcPr>
          <w:p>
            <w:r>
              <w:rPr>
                <w:sz w:val="20"/>
                <w:szCs w:val="20"/>
              </w:rPr>
              <w:t xml:space="preserve">+5.0%</w:t>
            </w:r>
          </w:p>
        </w:tc>
        <w:tc>
          <w:tcPr>
            <w:tcW w:type="pct" w:w="16.666666666666668%"/>
            <w:tcMar>
              <w:top w:type="dxa" w:w="100"/>
              <w:left w:type="dxa" w:w="100"/>
              <w:bottom w:type="dxa" w:w="100"/>
              <w:right w:type="dxa" w:w="100"/>
            </w:tcMar>
          </w:tcPr>
          <w:p>
            <w:r>
              <w:rPr>
                <w:sz w:val="20"/>
                <w:szCs w:val="20"/>
              </w:rPr>
              <w:t xml:space="preserve">45.7%*</w:t>
            </w:r>
          </w:p>
        </w:tc>
      </w:tr>
      <w:tr>
        <w:tc>
          <w:tcPr>
            <w:tcW w:type="pct" w:w="16.666666666666668%"/>
            <w:tcMar>
              <w:top w:type="dxa" w:w="100"/>
              <w:left w:type="dxa" w:w="100"/>
              <w:bottom w:type="dxa" w:w="100"/>
              <w:right w:type="dxa" w:w="100"/>
            </w:tcMar>
          </w:tcPr>
          <w:p>
            <w:r>
              <w:rPr>
                <w:sz w:val="20"/>
                <w:szCs w:val="20"/>
              </w:rPr>
              <w:t xml:space="preserve">Imported Premium</w:t>
            </w:r>
          </w:p>
        </w:tc>
        <w:tc>
          <w:tcPr>
            <w:tcW w:type="pct" w:w="16.666666666666668%"/>
            <w:tcMar>
              <w:top w:type="dxa" w:w="100"/>
              <w:left w:type="dxa" w:w="100"/>
              <w:bottom w:type="dxa" w:w="100"/>
              <w:right w:type="dxa" w:w="100"/>
            </w:tcMar>
          </w:tcPr>
          <w:p>
            <w:r>
              <w:rPr>
                <w:sz w:val="20"/>
                <w:szCs w:val="20"/>
              </w:rPr>
              <w:t xml:space="preserve">0.309</w:t>
            </w:r>
          </w:p>
        </w:tc>
        <w:tc>
          <w:tcPr>
            <w:tcW w:type="pct" w:w="16.666666666666668%"/>
            <w:tcMar>
              <w:top w:type="dxa" w:w="100"/>
              <w:left w:type="dxa" w:w="100"/>
              <w:bottom w:type="dxa" w:w="100"/>
              <w:right w:type="dxa" w:w="100"/>
            </w:tcMar>
          </w:tcPr>
          <w:p>
            <w:r>
              <w:rPr>
                <w:sz w:val="20"/>
                <w:szCs w:val="20"/>
              </w:rPr>
              <w:t xml:space="preserve">0.318</w:t>
            </w:r>
          </w:p>
        </w:tc>
        <w:tc>
          <w:tcPr>
            <w:tcW w:type="pct" w:w="16.666666666666668%"/>
            <w:tcMar>
              <w:top w:type="dxa" w:w="100"/>
              <w:left w:type="dxa" w:w="100"/>
              <w:bottom w:type="dxa" w:w="100"/>
              <w:right w:type="dxa" w:w="100"/>
            </w:tcMar>
          </w:tcPr>
          <w:p>
            <w:r>
              <w:rPr>
                <w:sz w:val="20"/>
                <w:szCs w:val="20"/>
              </w:rPr>
              <w:t xml:space="preserve">0.351</w:t>
            </w:r>
          </w:p>
        </w:tc>
        <w:tc>
          <w:tcPr>
            <w:tcW w:type="pct" w:w="16.666666666666668%"/>
            <w:tcMar>
              <w:top w:type="dxa" w:w="100"/>
              <w:left w:type="dxa" w:w="100"/>
              <w:bottom w:type="dxa" w:w="100"/>
              <w:right w:type="dxa" w:w="100"/>
            </w:tcMar>
          </w:tcPr>
          <w:p>
            <w:r>
              <w:rPr>
                <w:sz w:val="20"/>
                <w:szCs w:val="20"/>
              </w:rPr>
              <w:t xml:space="preserve">+2.6%</w:t>
            </w:r>
          </w:p>
        </w:tc>
        <w:tc>
          <w:tcPr>
            <w:tcW w:type="pct" w:w="16.666666666666668%"/>
            <w:tcMar>
              <w:top w:type="dxa" w:w="100"/>
              <w:left w:type="dxa" w:w="100"/>
              <w:bottom w:type="dxa" w:w="100"/>
              <w:right w:type="dxa" w:w="100"/>
            </w:tcMar>
          </w:tcPr>
          <w:p>
            <w:r>
              <w:rPr>
                <w:sz w:val="20"/>
                <w:szCs w:val="20"/>
              </w:rPr>
              <w:t xml:space="preserve">50.3%*</w:t>
            </w:r>
          </w:p>
        </w:tc>
      </w:tr>
      <w:tr>
        <w:tc>
          <w:tcPr>
            <w:tcW w:type="pct" w:w="16.666666666666668%"/>
            <w:tcMar>
              <w:top w:type="dxa" w:w="100"/>
              <w:left w:type="dxa" w:w="100"/>
              <w:bottom w:type="dxa" w:w="100"/>
              <w:right w:type="dxa" w:w="100"/>
            </w:tcMar>
          </w:tcPr>
          <w:p>
            <w:r>
              <w:rPr>
                <w:sz w:val="20"/>
                <w:szCs w:val="20"/>
              </w:rPr>
              <w:t xml:space="preserve">Imported Special</w:t>
            </w:r>
          </w:p>
        </w:tc>
        <w:tc>
          <w:tcPr>
            <w:tcW w:type="pct" w:w="16.666666666666668%"/>
            <w:tcMar>
              <w:top w:type="dxa" w:w="100"/>
              <w:left w:type="dxa" w:w="100"/>
              <w:bottom w:type="dxa" w:w="100"/>
              <w:right w:type="dxa" w:w="100"/>
            </w:tcMar>
          </w:tcPr>
          <w:p>
            <w:r>
              <w:rPr>
                <w:sz w:val="20"/>
                <w:szCs w:val="20"/>
              </w:rPr>
              <w:t xml:space="preserve">0.339</w:t>
            </w:r>
          </w:p>
        </w:tc>
        <w:tc>
          <w:tcPr>
            <w:tcW w:type="pct" w:w="16.666666666666668%"/>
            <w:tcMar>
              <w:top w:type="dxa" w:w="100"/>
              <w:left w:type="dxa" w:w="100"/>
              <w:bottom w:type="dxa" w:w="100"/>
              <w:right w:type="dxa" w:w="100"/>
            </w:tcMar>
          </w:tcPr>
          <w:p>
            <w:r>
              <w:rPr>
                <w:sz w:val="20"/>
                <w:szCs w:val="20"/>
              </w:rPr>
              <w:t xml:space="preserve">0.396</w:t>
            </w:r>
          </w:p>
        </w:tc>
        <w:tc>
          <w:tcPr>
            <w:tcW w:type="pct" w:w="16.666666666666668%"/>
            <w:tcMar>
              <w:top w:type="dxa" w:w="100"/>
              <w:left w:type="dxa" w:w="100"/>
              <w:bottom w:type="dxa" w:w="100"/>
              <w:right w:type="dxa" w:w="100"/>
            </w:tcMar>
          </w:tcPr>
          <w:p>
            <w:r>
              <w:rPr>
                <w:sz w:val="20"/>
                <w:szCs w:val="20"/>
              </w:rPr>
              <w:t xml:space="preserve">0.343</w:t>
            </w:r>
          </w:p>
        </w:tc>
        <w:tc>
          <w:tcPr>
            <w:tcW w:type="pct" w:w="16.666666666666668%"/>
            <w:tcMar>
              <w:top w:type="dxa" w:w="100"/>
              <w:left w:type="dxa" w:w="100"/>
              <w:bottom w:type="dxa" w:w="100"/>
              <w:right w:type="dxa" w:w="100"/>
            </w:tcMar>
          </w:tcPr>
          <w:p>
            <w:r>
              <w:rPr>
                <w:sz w:val="20"/>
                <w:szCs w:val="20"/>
              </w:rPr>
              <w:t xml:space="preserve">+14.2%</w:t>
            </w:r>
          </w:p>
        </w:tc>
        <w:tc>
          <w:tcPr>
            <w:tcW w:type="pct" w:w="16.666666666666668%"/>
            <w:tcMar>
              <w:top w:type="dxa" w:w="100"/>
              <w:left w:type="dxa" w:w="100"/>
              <w:bottom w:type="dxa" w:w="100"/>
              <w:right w:type="dxa" w:w="100"/>
            </w:tcMar>
          </w:tcPr>
          <w:p>
            <w:r>
              <w:rPr>
                <w:sz w:val="20"/>
                <w:szCs w:val="20"/>
              </w:rPr>
              <w:t xml:space="preserve">68.9%</w:t>
            </w:r>
          </w:p>
        </w:tc>
      </w:tr>
    </w:tbl>
    <w:p>
      <w:pPr>
        <w:spacing w:after="200" w:line="360"/>
        <w:ind w:firstLine="720"/>
        <w:jc w:val="both"/>
      </w:pPr>
      <w:r>
        <w:rPr>
          <w:sz w:val="24"/>
          <w:szCs w:val="24"/>
        </w:rPr>
        <w:t xml:space="preserve">Note. MAE is pooled over forecast days 1 to 3. Skill = 1 − MAE ÷ naive MAE. Day-1 direction is the share of actual price moves whose direction was forecast correctly; * = not significantly different from 50% (one-sided binomial test, α = 0.05).</w:t>
      </w:r>
    </w:p>
    <w:p>
      <w:pPr>
        <w:spacing w:after="200" w:line="360"/>
        <w:ind w:firstLine="720"/>
        <w:jc w:val="both"/>
      </w:pPr>
      <w:r>
        <w:rPr>
          <w:sz w:val="24"/>
          <w:szCs w:val="24"/>
        </w:rPr>
        <w:t xml:space="preserve">The published forecast was more accurate than the naive persistence baseline for all eight rice types (mean skill +10.06%, lowest +2.63% for Imported Premium) and more accurate than ARIMA(1,1,1) for all eight. Its mean absolute error was PHP 0.22 to 0.34 per kilogram. Pooled over the eight rice types, 87.0% of day-1 forecasts were within PHP 0.50 of the actual price (84.0% on day 2 and 81.9% on day 3) and 96.1% were within PHP 1.00. The published price ranges contained the actual price 91.5% of the time against a 90% target. A blocked rolling-origin check over five consecutive blocks of the test window gave a mean MAE of PHP 0.280 (standard deviation 0.076) for Local Well-Milled, showing that the accuracy is not driven by a single favourable period.</w:t>
      </w:r>
    </w:p>
    <w:p>
      <w:pPr>
        <w:spacing w:after="200" w:line="360"/>
        <w:ind w:firstLine="720"/>
        <w:jc w:val="both"/>
      </w:pPr>
      <w:r>
        <w:rPr>
          <w:sz w:val="24"/>
          <w:szCs w:val="24"/>
        </w:rPr>
        <w:t xml:space="preserve">The forecast direction was correct for 57.9% to 68.9% of actual day-1 moves for six of the eight rice types. For Imported Regular (45.7% of 210 moves) and Imported Premium (50.3%) it was not significantly different from chance, so the system should not be relied on for the up/down direction of those two types; their price level forecasts still beat both baselines.</w:t>
      </w:r>
    </w:p>
    <w:p>
      <w:pPr>
        <w:spacing w:after="100" w:before="200"/>
      </w:pPr>
      <w:r>
        <w:rPr>
          <w:b/>
          <w:bCs/>
          <w:i/>
          <w:iCs/>
          <w:sz w:val="24"/>
          <w:szCs w:val="24"/>
        </w:rPr>
        <w:t xml:space="preserve">Contribution of each component</w:t>
      </w:r>
    </w:p>
    <w:p>
      <w:pPr>
        <w:spacing w:after="200" w:line="360"/>
        <w:ind w:firstLine="720"/>
        <w:jc w:val="both"/>
      </w:pPr>
      <w:r>
        <w:rPr>
          <w:sz w:val="24"/>
          <w:szCs w:val="24"/>
        </w:rPr>
        <w:t xml:space="preserve">The components were also scored separately on the same test window. The LSTM network on its own essentially repeated the last observed price (skill −1.29%), because most of its training data comes from the weekly era, in which about 82% of daily rows are unchanged carried-forward values. Adding the weekday mean-reversion term produced the LSTM hybrid, which beat the naive baseline for all eight rice types (skill +7.80%) and ARIMA for four of eight. Combining the hybrid with ARIMA and the Kalman filter produced the published ensemble (skill +10.06%, better than ARIMA for eight of eight). On the test window the three components received nearly equal average weights (about one third each), which is consistent with the finding that no single model dominated.</w:t>
      </w:r>
    </w:p>
    <w:p>
      <w:pPr>
        <w:spacing w:after="200" w:line="360"/>
        <w:ind w:firstLine="720"/>
        <w:jc w:val="both"/>
      </w:pPr>
      <w:r>
        <w:rPr>
          <w:sz w:val="24"/>
          <w:szCs w:val="24"/>
        </w:rPr>
        <w:t xml:space="preserve">A paired McNemar test on the forecasts where the LSTM hybrid and the mean-reversion term alone disagreed found no significant contribution from the network (149 forecasts improved versus 151 worsened, p = 0.95). Nine alternative training strategies were tested to change this and none improved accuracy on the test window. The researchers attribute this to the amount of genuinely daily data: only about 544 daily-observation days exist so far, and for a near-random-walk price series the most recent price is already close to the optimal short-term predictor. The accuracy gain over the baselines therefore comes from the mean-reversion structure and from forecast combination, not from the network alone. The LSTM remains in the system as the learned multivariate component, and its contribution should be re-tested as more daily data accumulates.</w:t>
      </w:r>
    </w:p>
    <w:p>
      <w:pPr>
        <w:spacing w:after="200" w:line="360"/>
        <w:ind w:firstLine="720"/>
        <w:jc w:val="both"/>
      </w:pPr>
      <w:r>
        <w:rPr>
          <w:sz w:val="24"/>
          <w:szCs w:val="24"/>
        </w:rPr>
        <w:t xml:space="preserve">Because the test window was also used to compare many candidate designs during development, the figures above may be slightly optimistic. To confirm them on data no design decision could have seen, every forecast published since September 26, 2026 is logged before its DA price exists and scored afterwards (prospective evaluation).</w:t>
      </w:r>
    </w:p>
    <w:p>
      <w:pPr>
        <w:spacing w:after="200" w:before="100"/>
      </w:pPr>
      <w:r>
        <w:rPr>
          <w:b/>
          <w:bCs/>
          <w:color w:val="C00000"/>
          <w:sz w:val="22"/>
          <w:szCs w:val="22"/>
        </w:rPr>
        <w:t xml:space="preserve">[ACTION before the defense — add the prospective-evaluation results here: open http://127.0.0.1:5000/api/forecast-check (or run: cd model &amp;&amp; py -3.13 forecast_log.py) and report the overall MAE, naive MAE, skill, and range coverage with the number of scored forecasts and the date range.]</w:t>
      </w:r>
    </w:p>
    <w:p>
      <w:pPr>
        <w:spacing w:after="150" w:before="300"/>
      </w:pPr>
      <w:r>
        <w:rPr>
          <w:b/>
          <w:bCs/>
          <w:sz w:val="24"/>
          <w:szCs w:val="24"/>
        </w:rPr>
        <w:t xml:space="preserve">Statement of the Problem 2: The Automated Data Processing Engine</w:t>
      </w:r>
    </w:p>
    <w:p>
      <w:pPr>
        <w:spacing w:after="200" w:line="360"/>
        <w:ind w:firstLine="720"/>
        <w:jc w:val="both"/>
      </w:pPr>
      <w:r>
        <w:rPr>
          <w:sz w:val="24"/>
          <w:szCs w:val="24"/>
        </w:rPr>
        <w:t xml:space="preserve">The data processing engine collects the DA-AMAS rice price bulletin, fuel prices, and the USD–PHP exchange rate automatically every 24 hours and stores them in a local SQLite database. At the time of writing the database holds 4,018 historical retail price records (2015–2025) and 269 daily 2026 rice price records through September 26, 2026, together with fuel, exchange-rate, stock and farmgate series. The position-based PDF reader correctly maps prices to their rice types in saved bulletins that contain missing ("n/a") values, which previously shifted imported rice prices into the wrong column; the plausibility guard holds suspicious readings for administrator review instead of saving them. These behaviours are covered by the automated test suite (74 tests, all passing). After each successful scrape the published forecast is rebuilt automatically, so the website reflects a new DA bulletin without a server restart.</w:t>
      </w:r>
    </w:p>
    <w:p>
      <w:pPr>
        <w:spacing w:after="150" w:before="300"/>
      </w:pPr>
      <w:r>
        <w:rPr>
          <w:b/>
          <w:bCs/>
          <w:sz w:val="24"/>
          <w:szCs w:val="24"/>
        </w:rPr>
        <w:t xml:space="preserve">Statements of the Problem 3 to 6: System Evaluation</w:t>
      </w:r>
    </w:p>
    <w:p>
      <w:pPr>
        <w:spacing w:after="200" w:before="100"/>
      </w:pPr>
      <w:r>
        <w:rPr>
          <w:b/>
          <w:bCs/>
          <w:color w:val="C00000"/>
          <w:sz w:val="22"/>
          <w:szCs w:val="22"/>
        </w:rPr>
        <w:t xml:space="preserve">[TEAM INPUT REQUIRED — insert the weighted mean, standard deviation and verbal interpretation tables for DA-AMAS (SOP 3), households (SOP 4), local vendors (SOP 5) and IT professionals (SOP 6), followed by the one-way ANOVA result.]</w:t>
      </w:r>
    </w:p>
    <w:p>
      <w:pPr>
        <w:pageBreakBefore/>
        <w:spacing w:after="300" w:before="500"/>
        <w:jc w:val="center"/>
      </w:pPr>
      <w:r>
        <w:rPr>
          <w:b/>
          <w:bCs/>
          <w:sz w:val="28"/>
          <w:szCs w:val="28"/>
        </w:rPr>
        <w:t xml:space="preserve">CHAPTER 5 – SUMMARY, CONCLUSIONS, AND RECOMMENDATIONS</w:t>
      </w:r>
    </w:p>
    <w:p>
      <w:pPr>
        <w:spacing w:after="150" w:before="300"/>
      </w:pPr>
      <w:r>
        <w:rPr>
          <w:b/>
          <w:bCs/>
          <w:sz w:val="24"/>
          <w:szCs w:val="24"/>
        </w:rPr>
        <w:t xml:space="preserve">Summary of Findings</w:t>
      </w:r>
    </w:p>
    <w:p>
      <w:pPr>
        <w:spacing w:after="200" w:line="360"/>
        <w:ind w:firstLine="720"/>
        <w:jc w:val="both"/>
      </w:pPr>
      <w:r>
        <w:rPr>
          <w:sz w:val="24"/>
          <w:szCs w:val="24"/>
        </w:rPr>
        <w:t xml:space="preserve">AgriPrice forecasts the retail price of eight rice types in the NCR one to three days ahead. On a held-out test window of almost one year, its published forecast was more accurate than both naive persistence and ARIMA(1,1,1) for all eight rice types (mean skill +10.06% over persistence), with a mean absolute error of PHP 0.22 to 0.34 per kilogram and price ranges that contained the actual price 91.5% of the time. Its up/down direction was reliable for six of the eight rice types. The LSTM network alone did not add significant accuracy at the current amount of daily data; the gain came from the weekday mean-reversion structure and the adaptive combination with ARIMA and a Kalman filter. The data engine collects and validates the inputs automatically every day.</w:t>
      </w:r>
    </w:p>
    <w:p>
      <w:pPr>
        <w:spacing w:after="150" w:before="300"/>
      </w:pPr>
      <w:r>
        <w:rPr>
          <w:b/>
          <w:bCs/>
          <w:sz w:val="24"/>
          <w:szCs w:val="24"/>
        </w:rPr>
        <w:t xml:space="preserve">Conclusions</w:t>
      </w:r>
    </w:p>
    <w:p>
      <w:pPr>
        <w:spacing w:after="200" w:line="360"/>
        <w:ind w:firstLine="720"/>
        <w:jc w:val="both"/>
      </w:pPr>
      <w:r>
        <w:rPr>
          <w:sz w:val="24"/>
          <w:szCs w:val="24"/>
        </w:rPr>
        <w:t xml:space="preserve">A multivariate LSTM-based forecasting system can provide a 48- to 72-hour price lead time for NCR retail rice that is measurably more accurate than a naive or a classical statistical forecast, provided that it is evaluated on genuinely daily data and combined with simple statistical structure. An automated, validated data pipeline makes this forecast available daily without manual work.</w:t>
      </w:r>
    </w:p>
    <w:p>
      <w:pPr>
        <w:spacing w:after="200" w:before="100"/>
      </w:pPr>
      <w:r>
        <w:rPr>
          <w:b/>
          <w:bCs/>
          <w:color w:val="C00000"/>
          <w:sz w:val="22"/>
          <w:szCs w:val="22"/>
        </w:rPr>
        <w:t xml:space="preserve">[TEAM INPUT REQUIRED — add the conclusions for SOP 3 to 6 from the survey results.]</w:t>
      </w:r>
    </w:p>
    <w:p>
      <w:pPr>
        <w:spacing w:after="150" w:before="300"/>
      </w:pPr>
      <w:r>
        <w:rPr>
          <w:b/>
          <w:bCs/>
          <w:sz w:val="24"/>
          <w:szCs w:val="24"/>
        </w:rPr>
        <w:t xml:space="preserve">Recommendations</w:t>
      </w:r>
    </w:p>
    <w:p>
      <w:pPr>
        <w:spacing w:after="200" w:line="360"/>
        <w:ind w:firstLine="720"/>
        <w:jc w:val="both"/>
      </w:pPr>
      <w:r>
        <w:rPr>
          <w:sz w:val="24"/>
          <w:szCs w:val="24"/>
        </w:rPr>
        <w:t xml:space="preserve">1. Retrain the model as the daily-observation record grows and re-test whether the LSTM network adds accuracy; the test in this study had only about 544 daily days available. 2. Continue the prospective evaluation and report it alongside the test-window results. 3. Add explicit asymmetric (rising versus falling) diesel and exchange-rate features to test the "rockets and feathers" theory directly. 4. Evaluate weather and typhoon indicators as additional inputs. 5. Apply least-privilege file permissions to the database before a public deployment. 6. Extend the approach to other commodities and regions where daily price data is available.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bc3248a17f414dac5494aec4c83a2141b3711c8.undefined"/><Relationship Id="rId8" Type="http://schemas.openxmlformats.org/officeDocument/2006/relationships/image" Target="media/08d3590e1eb8865cf6401dec74df2b1bf2e5e695.undefined"/><Relationship Id="rId9" Type="http://schemas.openxmlformats.org/officeDocument/2006/relationships/image" Target="media/46ad112ee0ab7ccaec44dd7496db3912fd29ba57.undefined"/><Relationship Id="rId10" Type="http://schemas.openxmlformats.org/officeDocument/2006/relationships/image" Target="media/3c8aa41073905e014803d35f640ca8b4a0621338.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2026-08-02T15:31:10.243Z</dcterms:created>
  <dcterms:modified xsi:type="dcterms:W3CDTF">2026-08-02T15:31:10.259Z</dcterms:modified>
</cp:coreProperties>
</file>

<file path=docProps/custom.xml><?xml version="1.0" encoding="utf-8"?>
<Properties xmlns="http://schemas.openxmlformats.org/officeDocument/2006/custom-properties" xmlns:vt="http://schemas.openxmlformats.org/officeDocument/2006/docPropsVTypes"/>
</file>