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selected business process is the rental of properties, since it was deemed the most important one for the business model.</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grain of the fact table is defined as one rental agreement for one property with one client.For example, a six-month rental agreement is represented by one row, rather than six separate rows. RentalCost contains the monthly rent specified in the agreement, while PaidAmount represents the total amount of money actually received under the agreement.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Star Schema was selected for the data warehouse, since it was  deemed fulfilling for the task at hand.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DimDate table represents the date dimension and is used to analyze rental activity by dates, months, quarters, and years.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DimClient table contains information about clients who sign rental agreements.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DimProperty table contains information about rental properties.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FactRental table is the central fact table of the data warehouse. One row represents one rental agreement for one property with one client. An important distinction is made between RentalCost and MonthlyRent. RentalCost represents the monthly rent fixed in the agreement at the time it was signed. MonthlyRent represents the current market-defined rental price of the property. Therefore, if the property price increases, an existing agreement may still remain at the original price.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