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CMDB Group &amp; Ownership Attributes — Governance Reference</w:t>
      </w:r>
    </w:p>
    <w:p>
      <w:pPr>
        <w:spacing w:after="250"/>
      </w:pPr>
      <w:r>
        <w:rPr>
          <w:b/>
          <w:bCs/>
          <w:i/>
          <w:iCs/>
        </w:rPr>
        <w:t xml:space="preserve">Scope note: </w:t>
      </w:r>
      <w:r>
        <w:rPr>
          <w:i/>
          <w:iCs/>
        </w:rPr>
        <w:t xml:space="preserve">This is a general ServiceNow/CSDM platform reference (standard OOB behavior and best practice), not a PPL-instance-confirmed document. For PPL-specific confirmed labels, field usage, and CCB status on support_group, change_control, owned_by, managed_by, and managed_by_group, see the Ownership &amp; Assignment — Terminology Mapping Worksheet (Section 1 rows O3/O5, Section 2 rows S1/S2/S3).</w:t>
      </w:r>
    </w:p>
    <w:p>
      <w:pPr>
        <w:spacing w:after="150"/>
      </w:pPr>
      <w:r>
        <w:t xml:space="preserve">Detailed review breakdown for Support Group, Assignment Group, Approval Group (Change Control), Owned By, Managed By, Managed By Group, and Assigned To.</w:t>
      </w:r>
    </w:p>
    <w:p>
      <w:pPr>
        <w:pBdr>
          <w:bottom w:val="single" w:color="999999" w:sz="6" w:space="1"/>
        </w:pBdr>
        <w:spacing w:after="200"/>
      </w:pPr>
    </w:p>
    <w:p>
      <w:pPr>
        <w:pStyle w:val="Heading2"/>
        <w:spacing w:after="150" w:before="300"/>
      </w:pPr>
      <w:r>
        <w:t xml:space="preserve">1. Support Group (support_group)</w:t>
      </w:r>
    </w:p>
    <w:p>
      <w:pPr>
        <w:pStyle w:val="ListParagraph"/>
        <w:numPr>
          <w:ilvl w:val="0"/>
          <w:numId w:val="2"/>
        </w:numPr>
        <w:spacing w:after="100"/>
      </w:pPr>
      <w:r>
        <w:rPr>
          <w:b/>
          <w:bCs/>
        </w:rPr>
        <w:t xml:space="preserve">Database Field: </w:t>
      </w:r>
      <w:r>
        <w:t xml:space="preserve">support_group (References sys_user_group)</w:t>
      </w:r>
    </w:p>
    <w:p>
      <w:pPr>
        <w:pStyle w:val="ListParagraph"/>
        <w:numPr>
          <w:ilvl w:val="0"/>
          <w:numId w:val="2"/>
        </w:numPr>
        <w:spacing w:after="100"/>
      </w:pPr>
      <w:r>
        <w:rPr>
          <w:b/>
          <w:bCs/>
        </w:rPr>
        <w:t xml:space="preserve">What It Represents: </w:t>
      </w:r>
      <w:r>
        <w:t xml:space="preserve">The primary operational engineering team or squad designated to receive, investigate, and resolve operational incidents, system alerts, and outages associated with the CI or service.</w:t>
      </w:r>
    </w:p>
    <w:p>
      <w:pPr>
        <w:pStyle w:val="ListParagraph"/>
        <w:numPr>
          <w:ilvl w:val="0"/>
          <w:numId w:val="2"/>
        </w:numPr>
        <w:spacing w:after="100"/>
      </w:pPr>
      <w:r>
        <w:rPr>
          <w:b/>
          <w:bCs/>
        </w:rPr>
        <w:t xml:space="preserve">Key Question Answered: </w:t>
      </w:r>
      <w:r>
        <w:t xml:space="preserve">“Which active operational squad gets paged at 2:00 AM if this specific component breaks, goes offline, or triggers an event alert?”</w:t>
      </w:r>
    </w:p>
    <w:p>
      <w:pPr>
        <w:pStyle w:val="ListParagraph"/>
        <w:numPr>
          <w:ilvl w:val="0"/>
          <w:numId w:val="2"/>
        </w:numPr>
        <w:spacing w:after="100"/>
      </w:pPr>
      <w:r>
        <w:rPr>
          <w:b/>
          <w:bCs/>
        </w:rPr>
        <w:t xml:space="preserve">CSDM &amp; Platform Best Practice: </w:t>
      </w:r>
      <w:r>
        <w:t xml:space="preserve">Standardized across all operational infrastructure CIs in the Service Delivery Domain and linked up to Technology Management Offerings. It should always reference an active, functional group (sys_user_group) rather than individual users to ensure 24/7 rotational coverage.</w:t>
      </w:r>
    </w:p>
    <w:p>
      <w:pPr>
        <w:pStyle w:val="ListParagraph"/>
        <w:numPr>
          <w:ilvl w:val="0"/>
          <w:numId w:val="2"/>
        </w:numPr>
        <w:spacing w:after="100"/>
      </w:pPr>
      <w:r>
        <w:rPr>
          <w:b/>
          <w:bCs/>
        </w:rPr>
        <w:t xml:space="preserve">Platform Functionality Relying On It:</w:t>
      </w:r>
    </w:p>
    <w:p>
      <w:pPr>
        <w:pStyle w:val="ListParagraph"/>
        <w:numPr>
          <w:ilvl w:val="1"/>
          <w:numId w:val="2"/>
        </w:numPr>
        <w:spacing w:after="100"/>
      </w:pPr>
      <w:r>
        <w:rPr>
          <w:b/>
          <w:bCs/>
        </w:rPr>
        <w:t xml:space="preserve">Incident Management: </w:t>
      </w:r>
      <w:r>
        <w:t xml:space="preserve">Automatically populates the Incident record’s assignment_group when the CI is selected as the Affected CI on a ticket.</w:t>
      </w:r>
    </w:p>
    <w:p>
      <w:pPr>
        <w:pStyle w:val="ListParagraph"/>
        <w:numPr>
          <w:ilvl w:val="1"/>
          <w:numId w:val="2"/>
        </w:numPr>
        <w:spacing w:after="100"/>
      </w:pPr>
      <w:r>
        <w:rPr>
          <w:b/>
          <w:bCs/>
        </w:rPr>
        <w:t xml:space="preserve">ITOM Event Management &amp; Alert Management: </w:t>
      </w:r>
      <w:r>
        <w:t xml:space="preserve">Auto-routes actionable alerts generated by monitoring tools directly to the responsible squad.</w:t>
      </w:r>
    </w:p>
    <w:p>
      <w:pPr>
        <w:pStyle w:val="ListParagraph"/>
        <w:numPr>
          <w:ilvl w:val="1"/>
          <w:numId w:val="2"/>
        </w:numPr>
        <w:spacing w:after="100"/>
      </w:pPr>
      <w:r>
        <w:rPr>
          <w:b/>
          <w:bCs/>
        </w:rPr>
        <w:t xml:space="preserve">Major Incident Management: </w:t>
      </w:r>
      <w:r>
        <w:t xml:space="preserve">Instantly identifies technical leads to assemble war rooms during high-priority service outages.</w:t>
      </w:r>
    </w:p>
    <w:p>
      <w:pPr>
        <w:pBdr>
          <w:bottom w:val="single" w:color="999999" w:sz="6" w:space="1"/>
        </w:pBdr>
        <w:spacing w:after="200"/>
      </w:pPr>
    </w:p>
    <w:p>
      <w:pPr>
        <w:pStyle w:val="Heading2"/>
        <w:spacing w:after="150" w:before="300"/>
      </w:pPr>
      <w:r>
        <w:t xml:space="preserve">2. Assignment Group (assignment_group)</w:t>
      </w:r>
    </w:p>
    <w:p>
      <w:pPr>
        <w:pStyle w:val="ListParagraph"/>
        <w:numPr>
          <w:ilvl w:val="0"/>
          <w:numId w:val="2"/>
        </w:numPr>
        <w:spacing w:after="100"/>
      </w:pPr>
      <w:r>
        <w:rPr>
          <w:b/>
          <w:bCs/>
        </w:rPr>
        <w:t xml:space="preserve">Database Field: </w:t>
      </w:r>
      <w:r>
        <w:t xml:space="preserve">assignment_group (Present on task tables such as incident, change_request, and problem — not natively on cmdb_ci)</w:t>
      </w:r>
    </w:p>
    <w:p>
      <w:pPr>
        <w:pStyle w:val="ListParagraph"/>
        <w:numPr>
          <w:ilvl w:val="0"/>
          <w:numId w:val="2"/>
        </w:numPr>
        <w:spacing w:after="100"/>
      </w:pPr>
      <w:r>
        <w:rPr>
          <w:b/>
          <w:bCs/>
        </w:rPr>
        <w:t xml:space="preserve">What It Represents: </w:t>
      </w:r>
      <w:r>
        <w:t xml:space="preserve">The active technical group assigned to work on and complete a specific operational record or workflow task.</w:t>
      </w:r>
    </w:p>
    <w:p>
      <w:pPr>
        <w:pStyle w:val="ListParagraph"/>
        <w:numPr>
          <w:ilvl w:val="0"/>
          <w:numId w:val="2"/>
        </w:numPr>
        <w:spacing w:after="100"/>
      </w:pPr>
      <w:r>
        <w:rPr>
          <w:b/>
          <w:bCs/>
        </w:rPr>
        <w:t xml:space="preserve">Key Question Answered: </w:t>
      </w:r>
      <w:r>
        <w:t xml:space="preserve">“Which specific team is currently assigned to work on and resolve this active ticket or request?”</w:t>
      </w:r>
    </w:p>
    <w:p>
      <w:pPr>
        <w:pStyle w:val="ListParagraph"/>
        <w:numPr>
          <w:ilvl w:val="0"/>
          <w:numId w:val="2"/>
        </w:numPr>
        <w:spacing w:after="100"/>
      </w:pPr>
      <w:r>
        <w:rPr>
          <w:b/>
          <w:bCs/>
        </w:rPr>
        <w:t xml:space="preserve">CSDM &amp; Platform Best Practice: </w:t>
      </w:r>
      <w:r>
        <w:t xml:space="preserve">Do not add a custom assignment_group field directly to cmdb_ci. The CMDB stores static governance pointers on the CI (support_group, change_control, managed_by_group). Downstream ITSM workflows dynamically inherit these pointers onto the Task record’s assignment_group depending on the type of work being performed.</w:t>
      </w:r>
    </w:p>
    <w:p>
      <w:pPr>
        <w:pStyle w:val="ListParagraph"/>
        <w:numPr>
          <w:ilvl w:val="0"/>
          <w:numId w:val="2"/>
        </w:numPr>
        <w:spacing w:after="100"/>
      </w:pPr>
      <w:r>
        <w:rPr>
          <w:b/>
          <w:bCs/>
        </w:rPr>
        <w:t xml:space="preserve">Platform Functionality Relying On It:</w:t>
      </w:r>
    </w:p>
    <w:p>
      <w:pPr>
        <w:pStyle w:val="ListParagraph"/>
        <w:numPr>
          <w:ilvl w:val="1"/>
          <w:numId w:val="2"/>
        </w:numPr>
        <w:spacing w:after="100"/>
      </w:pPr>
      <w:r>
        <w:rPr>
          <w:b/>
          <w:bCs/>
        </w:rPr>
        <w:t xml:space="preserve">Task Engine Routing &amp; Queues: </w:t>
      </w:r>
      <w:r>
        <w:t xml:space="preserve">Directs active tickets into squad dashboards, visual task boards (VTBs), and workspace queues.</w:t>
      </w:r>
    </w:p>
    <w:p>
      <w:pPr>
        <w:pStyle w:val="ListParagraph"/>
        <w:numPr>
          <w:ilvl w:val="1"/>
          <w:numId w:val="2"/>
        </w:numPr>
        <w:spacing w:after="100"/>
      </w:pPr>
      <w:r>
        <w:rPr>
          <w:b/>
          <w:bCs/>
        </w:rPr>
        <w:t xml:space="preserve">Service Level Management (SLAs): </w:t>
      </w:r>
      <w:r>
        <w:t xml:space="preserve">Drives SLA response and resolution countdown timers based on group assignment.</w:t>
      </w:r>
    </w:p>
    <w:p>
      <w:pPr>
        <w:pStyle w:val="ListParagraph"/>
        <w:numPr>
          <w:ilvl w:val="1"/>
          <w:numId w:val="2"/>
        </w:numPr>
        <w:spacing w:after="100"/>
      </w:pPr>
      <w:r>
        <w:rPr>
          <w:b/>
          <w:bCs/>
        </w:rPr>
        <w:t xml:space="preserve">ITSM Reporting &amp; Analytics: </w:t>
      </w:r>
      <w:r>
        <w:t xml:space="preserve">Tracks Mean Time to Resolve (MTTR), ticket backlog, and team velocity across IT service management.</w:t>
      </w:r>
    </w:p>
    <w:p>
      <w:pPr>
        <w:pBdr>
          <w:bottom w:val="single" w:color="999999" w:sz="6" w:space="1"/>
        </w:pBdr>
        <w:spacing w:after="200"/>
      </w:pPr>
    </w:p>
    <w:p>
      <w:pPr>
        <w:pStyle w:val="Heading2"/>
        <w:spacing w:after="150" w:before="300"/>
      </w:pPr>
      <w:r>
        <w:t xml:space="preserve">3. Approval Group / Change Control (change_control)</w:t>
      </w:r>
    </w:p>
    <w:p>
      <w:pPr>
        <w:pStyle w:val="ListParagraph"/>
        <w:numPr>
          <w:ilvl w:val="0"/>
          <w:numId w:val="2"/>
        </w:numPr>
        <w:spacing w:after="100"/>
      </w:pPr>
      <w:r>
        <w:rPr>
          <w:b/>
          <w:bCs/>
        </w:rPr>
        <w:t xml:space="preserve">Database Field: </w:t>
      </w:r>
      <w:r>
        <w:t xml:space="preserve">change_control (Native field on cmdb_ci, referencing sys_user_group) / change_group (CSDM Teams List)</w:t>
      </w:r>
    </w:p>
    <w:p>
      <w:pPr>
        <w:pStyle w:val="ListParagraph"/>
        <w:numPr>
          <w:ilvl w:val="0"/>
          <w:numId w:val="2"/>
        </w:numPr>
        <w:spacing w:after="100"/>
      </w:pPr>
      <w:r>
        <w:rPr>
          <w:b/>
          <w:bCs/>
        </w:rPr>
        <w:t xml:space="preserve">What It Represents: </w:t>
      </w:r>
      <w:r>
        <w:t xml:space="preserve">The technical governance body, lead engineering squad, or Change Advisory Board (CAB) authorized to review, evaluate, and approve proposed modifications, patches, or maintenance on the CI.</w:t>
      </w:r>
    </w:p>
    <w:p>
      <w:pPr>
        <w:pStyle w:val="ListParagraph"/>
        <w:numPr>
          <w:ilvl w:val="0"/>
          <w:numId w:val="2"/>
        </w:numPr>
        <w:spacing w:after="100"/>
      </w:pPr>
      <w:r>
        <w:rPr>
          <w:b/>
          <w:bCs/>
        </w:rPr>
        <w:t xml:space="preserve">Key Question Answered: </w:t>
      </w:r>
      <w:r>
        <w:t xml:space="preserve">“Which leadership body or technical squad must evaluate and sign off before changes, upgrades, or maintenance are executed on this component?”</w:t>
      </w:r>
    </w:p>
    <w:p>
      <w:pPr>
        <w:pStyle w:val="ListParagraph"/>
        <w:numPr>
          <w:ilvl w:val="0"/>
          <w:numId w:val="2"/>
        </w:numPr>
        <w:spacing w:after="100"/>
      </w:pPr>
      <w:r>
        <w:rPr>
          <w:b/>
          <w:bCs/>
        </w:rPr>
        <w:t xml:space="preserve">CSDM &amp; Platform Best Practice: </w:t>
      </w:r>
      <w:r>
        <w:t xml:space="preserve">Essential for critical infrastructure and production environments. Separates the authorization authority (change_control) from the team executing the physical change (managed_by_group or Task assignment_group).</w:t>
      </w:r>
    </w:p>
    <w:p>
      <w:pPr>
        <w:pStyle w:val="ListParagraph"/>
        <w:numPr>
          <w:ilvl w:val="0"/>
          <w:numId w:val="2"/>
        </w:numPr>
        <w:spacing w:after="100"/>
      </w:pPr>
      <w:r>
        <w:rPr>
          <w:b/>
          <w:bCs/>
        </w:rPr>
        <w:t xml:space="preserve">Platform Functionality Relying On It:</w:t>
      </w:r>
    </w:p>
    <w:p>
      <w:pPr>
        <w:pStyle w:val="ListParagraph"/>
        <w:numPr>
          <w:ilvl w:val="1"/>
          <w:numId w:val="2"/>
        </w:numPr>
        <w:spacing w:after="100"/>
      </w:pPr>
      <w:r>
        <w:rPr>
          <w:b/>
          <w:bCs/>
        </w:rPr>
        <w:t xml:space="preserve">Change Management Approval Engine: </w:t>
      </w:r>
      <w:r>
        <w:t xml:space="preserve">Automatically routes Change Requests to the designated group for CAB reviews, peer approvals, or emergency sign-offs.</w:t>
      </w:r>
    </w:p>
    <w:p>
      <w:pPr>
        <w:pStyle w:val="ListParagraph"/>
        <w:numPr>
          <w:ilvl w:val="1"/>
          <w:numId w:val="2"/>
        </w:numPr>
        <w:spacing w:after="100"/>
      </w:pPr>
      <w:r>
        <w:rPr>
          <w:b/>
          <w:bCs/>
        </w:rPr>
        <w:t xml:space="preserve">Change Risk &amp; Impact Analysis: </w:t>
      </w:r>
      <w:r>
        <w:t xml:space="preserve">Flags change collisions when multiple change requests target CIs governed by the same approval authority.</w:t>
      </w:r>
    </w:p>
    <w:p>
      <w:pPr>
        <w:pStyle w:val="ListParagraph"/>
        <w:numPr>
          <w:ilvl w:val="1"/>
          <w:numId w:val="2"/>
        </w:numPr>
        <w:spacing w:after="100"/>
      </w:pPr>
      <w:r>
        <w:rPr>
          <w:b/>
          <w:bCs/>
        </w:rPr>
        <w:t xml:space="preserve">DevOps Policy Engine: </w:t>
      </w:r>
      <w:r>
        <w:t xml:space="preserve">Used in automated change pipelines to route low-risk changes for auto-approval or require squad lead sign-off.</w:t>
      </w:r>
    </w:p>
    <w:p>
      <w:pPr>
        <w:pBdr>
          <w:bottom w:val="single" w:color="999999" w:sz="6" w:space="1"/>
        </w:pBdr>
        <w:spacing w:after="200"/>
      </w:pPr>
    </w:p>
    <w:p>
      <w:pPr>
        <w:pStyle w:val="Heading2"/>
        <w:spacing w:after="150" w:before="300"/>
      </w:pPr>
      <w:r>
        <w:t xml:space="preserve">4. Owned By (owned_by)</w:t>
      </w:r>
    </w:p>
    <w:p>
      <w:pPr>
        <w:pStyle w:val="ListParagraph"/>
        <w:numPr>
          <w:ilvl w:val="0"/>
          <w:numId w:val="2"/>
        </w:numPr>
        <w:spacing w:after="100"/>
      </w:pPr>
      <w:r>
        <w:rPr>
          <w:b/>
          <w:bCs/>
        </w:rPr>
        <w:t xml:space="preserve">Database Field: </w:t>
      </w:r>
      <w:r>
        <w:t xml:space="preserve">owned_by (References sys_user — a named individual, not a group)</w:t>
      </w:r>
    </w:p>
    <w:p>
      <w:pPr>
        <w:pStyle w:val="ListParagraph"/>
        <w:numPr>
          <w:ilvl w:val="0"/>
          <w:numId w:val="2"/>
        </w:numPr>
        <w:spacing w:after="100"/>
      </w:pPr>
      <w:r>
        <w:rPr>
          <w:b/>
          <w:bCs/>
        </w:rPr>
        <w:t xml:space="preserve">What It Represents: </w:t>
      </w:r>
      <w:r>
        <w:t xml:space="preserve">The operational owner responsible for the CI's availability and data accuracy — the person accountable if the CI goes down or its record is wrong. Distinct from the end user (assigned_to) and from the strategic/portfolio-level it_application_owner.</w:t>
      </w:r>
    </w:p>
    <w:p>
      <w:pPr>
        <w:pStyle w:val="ListParagraph"/>
        <w:numPr>
          <w:ilvl w:val="0"/>
          <w:numId w:val="2"/>
        </w:numPr>
        <w:spacing w:after="100"/>
      </w:pPr>
      <w:r>
        <w:rPr>
          <w:b/>
          <w:bCs/>
        </w:rPr>
        <w:t xml:space="preserve">Key Question Answered: </w:t>
      </w:r>
      <w:r>
        <w:t xml:space="preserve">“Who is accountable for this CI’s uptime and the accuracy of its record — the person who answers for it if either is wrong?”</w:t>
      </w:r>
    </w:p>
    <w:p>
      <w:pPr>
        <w:pStyle w:val="ListParagraph"/>
        <w:numPr>
          <w:ilvl w:val="0"/>
          <w:numId w:val="2"/>
        </w:numPr>
        <w:spacing w:after="100"/>
      </w:pPr>
      <w:r>
        <w:rPr>
          <w:b/>
          <w:bCs/>
        </w:rPr>
        <w:t xml:space="preserve">CSDM &amp; Platform Best Practice: </w:t>
      </w:r>
      <w:r>
        <w:t xml:space="preserve">CSDM 5.0 designates owned_by as the field that should carry named operational-ownership accountability, kept distinct from managed_by (day-to-day management). See open governance note below.</w:t>
      </w:r>
    </w:p>
    <w:p>
      <w:pPr>
        <w:pStyle w:val="ListParagraph"/>
        <w:numPr>
          <w:ilvl w:val="0"/>
          <w:numId w:val="2"/>
        </w:numPr>
        <w:spacing w:after="100"/>
      </w:pPr>
      <w:r>
        <w:rPr>
          <w:b/>
          <w:bCs/>
        </w:rPr>
        <w:t xml:space="preserve">Platform Functionality Relying On It:</w:t>
      </w:r>
    </w:p>
    <w:p>
      <w:pPr>
        <w:pStyle w:val="ListParagraph"/>
        <w:numPr>
          <w:ilvl w:val="1"/>
          <w:numId w:val="2"/>
        </w:numPr>
        <w:spacing w:after="100"/>
      </w:pPr>
      <w:r>
        <w:rPr>
          <w:b/>
          <w:bCs/>
        </w:rPr>
        <w:t xml:space="preserve">CMDB Health &amp; Data Certification: </w:t>
      </w:r>
      <w:r>
        <w:t xml:space="preserve">Drives certification task assignment — the named owner is who attests the CI’s data on a recurring cycle.</w:t>
      </w:r>
    </w:p>
    <w:p>
      <w:pPr>
        <w:pStyle w:val="ListParagraph"/>
        <w:numPr>
          <w:ilvl w:val="1"/>
          <w:numId w:val="2"/>
        </w:numPr>
        <w:spacing w:after="100"/>
      </w:pPr>
      <w:r>
        <w:rPr>
          <w:b/>
          <w:bCs/>
        </w:rPr>
        <w:t xml:space="preserve">Ownership-Change Notifications: </w:t>
      </w:r>
      <w:r>
        <w:t xml:space="preserve">Alerts the owner when the CI’s attributes or relationships change.</w:t>
      </w:r>
    </w:p>
    <w:p>
      <w:pPr>
        <w:pStyle w:val="ListParagraph"/>
        <w:numPr>
          <w:ilvl w:val="1"/>
          <w:numId w:val="2"/>
        </w:numPr>
        <w:spacing w:after="100"/>
      </w:pPr>
      <w:r>
        <w:rPr>
          <w:b/>
          <w:bCs/>
        </w:rPr>
        <w:t xml:space="preserve">Not a routing field: </w:t>
      </w:r>
      <w:r>
        <w:t xml:space="preserve">Does not drive incident or change routing — that is support_group / change_control.</w:t>
      </w:r>
    </w:p>
    <w:p>
      <w:pPr>
        <w:pBdr>
          <w:left w:val="single" w:color="BF8F00" w:sz="18" w:space="8"/>
        </w:pBdr>
        <w:shd w:fill="FFF2CC" w:color="auto" w:val="clear"/>
        <w:spacing w:after="200" w:before="100"/>
        <w:ind w:left="360"/>
      </w:pPr>
      <w:r>
        <w:rPr>
          <w:b/>
          <w:bCs/>
          <w:i/>
          <w:iCs/>
        </w:rPr>
        <w:t xml:space="preserve">Open governance note: </w:t>
      </w:r>
      <w:r>
        <w:rPr>
          <w:i/>
          <w:iCs/>
        </w:rPr>
        <w:t xml:space="preserve">PPL’s instance labels managed_by — not owned_by — as “CI Owner” (confirmed on cmdb_ci_business_app, 2026-09-09). This is the reverse of the CSDM 5.0 intent above and is an open, unresolved CCB decision item, not a labeling detail. See the Ownership &amp; Assignment Terminology Mapping Worksheet (O3, O5) for the full analysis.</w:t>
      </w:r>
    </w:p>
    <w:p>
      <w:pPr>
        <w:pBdr>
          <w:bottom w:val="single" w:color="999999" w:sz="6" w:space="1"/>
        </w:pBdr>
        <w:spacing w:after="200"/>
      </w:pPr>
    </w:p>
    <w:p>
      <w:pPr>
        <w:pStyle w:val="Heading2"/>
        <w:spacing w:after="150" w:before="300"/>
      </w:pPr>
      <w:r>
        <w:t xml:space="preserve">5. Managed By (managed_by)</w:t>
      </w:r>
    </w:p>
    <w:p>
      <w:pPr>
        <w:pStyle w:val="ListParagraph"/>
        <w:numPr>
          <w:ilvl w:val="0"/>
          <w:numId w:val="2"/>
        </w:numPr>
        <w:spacing w:after="100"/>
      </w:pPr>
      <w:r>
        <w:rPr>
          <w:b/>
          <w:bCs/>
        </w:rPr>
        <w:t xml:space="preserve">Database Field: </w:t>
      </w:r>
      <w:r>
        <w:t xml:space="preserve">managed_by (References sys_user — a named individual, not a group)</w:t>
      </w:r>
    </w:p>
    <w:p>
      <w:pPr>
        <w:pStyle w:val="ListParagraph"/>
        <w:numPr>
          <w:ilvl w:val="0"/>
          <w:numId w:val="2"/>
        </w:numPr>
        <w:spacing w:after="100"/>
      </w:pPr>
      <w:r>
        <w:rPr>
          <w:b/>
          <w:bCs/>
        </w:rPr>
        <w:t xml:space="preserve">What It Represents: </w:t>
      </w:r>
      <w:r>
        <w:t xml:space="preserve">The person who manages the CI on a day-to-day operational basis — typically a team lead or manager, not the end user and not the accountable owner.</w:t>
      </w:r>
    </w:p>
    <w:p>
      <w:pPr>
        <w:pStyle w:val="ListParagraph"/>
        <w:numPr>
          <w:ilvl w:val="0"/>
          <w:numId w:val="2"/>
        </w:numPr>
        <w:spacing w:after="100"/>
      </w:pPr>
      <w:r>
        <w:rPr>
          <w:b/>
          <w:bCs/>
        </w:rPr>
        <w:t xml:space="preserve">Key Question Answered: </w:t>
      </w:r>
      <w:r>
        <w:t xml:space="preserve">“Who is the operational manager keeping this CI running day-to-day?”</w:t>
      </w:r>
    </w:p>
    <w:p>
      <w:pPr>
        <w:pStyle w:val="ListParagraph"/>
        <w:numPr>
          <w:ilvl w:val="0"/>
          <w:numId w:val="2"/>
        </w:numPr>
        <w:spacing w:after="100"/>
      </w:pPr>
      <w:r>
        <w:rPr>
          <w:b/>
          <w:bCs/>
        </w:rPr>
        <w:t xml:space="preserve">CSDM &amp; Platform Best Practice: </w:t>
      </w:r>
      <w:r>
        <w:t xml:space="preserve">OOB, this is a lower-weight reporting/hierarchy field — referenced by some Discovery patterns and integrations to establish a management chain, but not a primary ITSM routing field. CSDM 5.0 reserves owner-accountability language for owned_by; using managed_by for that purpose (as PPL’s instance currently does — see below) reintroduces the exact ambiguity CSDM 5.0 is designed to remove.</w:t>
      </w:r>
    </w:p>
    <w:p>
      <w:pPr>
        <w:pStyle w:val="ListParagraph"/>
        <w:numPr>
          <w:ilvl w:val="0"/>
          <w:numId w:val="2"/>
        </w:numPr>
        <w:spacing w:after="100"/>
      </w:pPr>
      <w:r>
        <w:rPr>
          <w:b/>
          <w:bCs/>
        </w:rPr>
        <w:t xml:space="preserve">Platform Functionality Relying On It:</w:t>
      </w:r>
    </w:p>
    <w:p>
      <w:pPr>
        <w:pStyle w:val="ListParagraph"/>
        <w:numPr>
          <w:ilvl w:val="1"/>
          <w:numId w:val="2"/>
        </w:numPr>
        <w:spacing w:after="100"/>
      </w:pPr>
      <w:r>
        <w:rPr>
          <w:b/>
          <w:bCs/>
        </w:rPr>
        <w:t xml:space="preserve">Discovery Integrations: </w:t>
      </w:r>
      <w:r>
        <w:t xml:space="preserve">Some Discovery patterns reference managed_by to populate management hierarchy.</w:t>
      </w:r>
    </w:p>
    <w:p>
      <w:pPr>
        <w:pStyle w:val="ListParagraph"/>
        <w:numPr>
          <w:ilvl w:val="1"/>
          <w:numId w:val="2"/>
        </w:numPr>
        <w:spacing w:after="100"/>
      </w:pPr>
      <w:r>
        <w:rPr>
          <w:b/>
          <w:bCs/>
        </w:rPr>
        <w:t xml:space="preserve">Reporting: </w:t>
      </w:r>
      <w:r>
        <w:t xml:space="preserve">Management-chain reporting only — no incident/change automation depends on it OOB.</w:t>
      </w:r>
    </w:p>
    <w:p>
      <w:pPr>
        <w:pBdr>
          <w:left w:val="single" w:color="BF8F00" w:sz="18" w:space="8"/>
        </w:pBdr>
        <w:shd w:fill="FFF2CC" w:color="auto" w:val="clear"/>
        <w:spacing w:after="200" w:before="100"/>
        <w:ind w:left="360"/>
      </w:pPr>
      <w:r>
        <w:rPr>
          <w:b/>
          <w:bCs/>
          <w:i/>
          <w:iCs/>
        </w:rPr>
        <w:t xml:space="preserve">Open governance note: </w:t>
      </w:r>
      <w:r>
        <w:rPr>
          <w:i/>
          <w:iCs/>
        </w:rPr>
        <w:t xml:space="preserve">Same conflict as above — PPL labels this field “CI Owner” on cmdb_ci_business_app (confirmed 2026-09-09), which is not yet reconciled with owned_by’s intended role. Unresolved CCB item — see the Ownership &amp; Assignment Terminology Mapping Worksheet (O5).</w:t>
      </w:r>
    </w:p>
    <w:p>
      <w:pPr>
        <w:pBdr>
          <w:bottom w:val="single" w:color="999999" w:sz="6" w:space="1"/>
        </w:pBdr>
        <w:spacing w:after="200"/>
      </w:pPr>
    </w:p>
    <w:p>
      <w:pPr>
        <w:pStyle w:val="Heading2"/>
        <w:spacing w:after="150" w:before="300"/>
      </w:pPr>
      <w:r>
        <w:t xml:space="preserve">6. Managed By Group (managed_by_group)</w:t>
      </w:r>
    </w:p>
    <w:p>
      <w:pPr>
        <w:pStyle w:val="ListParagraph"/>
        <w:numPr>
          <w:ilvl w:val="0"/>
          <w:numId w:val="2"/>
        </w:numPr>
        <w:spacing w:after="100"/>
      </w:pPr>
      <w:r>
        <w:rPr>
          <w:b/>
          <w:bCs/>
        </w:rPr>
        <w:t xml:space="preserve">Database Field: </w:t>
      </w:r>
      <w:r>
        <w:t xml:space="preserve">managed_by_group (References sys_user_group)</w:t>
      </w:r>
    </w:p>
    <w:p>
      <w:pPr>
        <w:pStyle w:val="ListParagraph"/>
        <w:numPr>
          <w:ilvl w:val="0"/>
          <w:numId w:val="2"/>
        </w:numPr>
        <w:spacing w:after="100"/>
      </w:pPr>
      <w:r>
        <w:rPr>
          <w:b/>
          <w:bCs/>
        </w:rPr>
        <w:t xml:space="preserve">What It Represents: </w:t>
      </w:r>
      <w:r>
        <w:t xml:space="preserve">The group operationally managing the CI on a day-to-day basis — accountable for keeping it healthy. Distinct from Support Group (incident response) and Change Control (change approval authority), even when the same team happens to fill more than one of these roles.</w:t>
      </w:r>
    </w:p>
    <w:p>
      <w:pPr>
        <w:pStyle w:val="ListParagraph"/>
        <w:numPr>
          <w:ilvl w:val="0"/>
          <w:numId w:val="2"/>
        </w:numPr>
        <w:spacing w:after="100"/>
      </w:pPr>
      <w:r>
        <w:rPr>
          <w:b/>
          <w:bCs/>
        </w:rPr>
        <w:t xml:space="preserve">Key Question Answered: </w:t>
      </w:r>
      <w:r>
        <w:t xml:space="preserve">“Which team collectively owns day-to-day operational management of this CI?”</w:t>
      </w:r>
    </w:p>
    <w:p>
      <w:pPr>
        <w:pStyle w:val="ListParagraph"/>
        <w:numPr>
          <w:ilvl w:val="0"/>
          <w:numId w:val="2"/>
        </w:numPr>
        <w:spacing w:after="100"/>
      </w:pPr>
      <w:r>
        <w:rPr>
          <w:b/>
          <w:bCs/>
        </w:rPr>
        <w:t xml:space="preserve">CSDM &amp; Platform Best Practice: </w:t>
      </w:r>
      <w:r>
        <w:t xml:space="preserve">A governance/reporting field — should reference an active team distinct from support_group and change_control when those roles genuinely differ at the org level.</w:t>
      </w:r>
    </w:p>
    <w:p>
      <w:pPr>
        <w:pStyle w:val="ListParagraph"/>
        <w:numPr>
          <w:ilvl w:val="0"/>
          <w:numId w:val="2"/>
        </w:numPr>
        <w:spacing w:after="100"/>
      </w:pPr>
      <w:r>
        <w:rPr>
          <w:b/>
          <w:bCs/>
        </w:rPr>
        <w:t xml:space="preserve">Platform Functionality Relying On It:</w:t>
      </w:r>
    </w:p>
    <w:p>
      <w:pPr>
        <w:pStyle w:val="ListParagraph"/>
        <w:numPr>
          <w:ilvl w:val="1"/>
          <w:numId w:val="2"/>
        </w:numPr>
        <w:spacing w:after="100"/>
      </w:pPr>
      <w:r>
        <w:rPr>
          <w:b/>
          <w:bCs/>
        </w:rPr>
        <w:t xml:space="preserve">Reporting &amp; Discovery Integrations: </w:t>
      </w:r>
      <w:r>
        <w:t xml:space="preserve">Management-hierarchy reporting and some Discovery pattern references only.</w:t>
      </w:r>
    </w:p>
    <w:p>
      <w:pPr>
        <w:pStyle w:val="ListParagraph"/>
        <w:numPr>
          <w:ilvl w:val="1"/>
          <w:numId w:val="2"/>
        </w:numPr>
        <w:spacing w:after="100"/>
      </w:pPr>
      <w:r>
        <w:rPr>
          <w:b/>
          <w:bCs/>
        </w:rPr>
        <w:t xml:space="preserve">Low OOB functional impact if empty: </w:t>
      </w:r>
      <w:r>
        <w:t xml:space="preserve">Per confirmed PPL research (Ownership &amp; Assignment Terminology Mapping Worksheet, S3), this field does not natively drive attestation, retirement, or archival workflows; treat any claim that it does as unverified until confirmed against PPL’s instance.</w:t>
      </w:r>
    </w:p>
    <w:p>
      <w:pPr>
        <w:pBdr>
          <w:bottom w:val="single" w:color="999999" w:sz="6" w:space="1"/>
        </w:pBdr>
        <w:spacing w:after="200"/>
      </w:pPr>
    </w:p>
    <w:p>
      <w:pPr>
        <w:pStyle w:val="Heading2"/>
        <w:spacing w:after="150" w:before="300"/>
      </w:pPr>
      <w:r>
        <w:t xml:space="preserve">7. Assigned To (assigned_to)</w:t>
      </w:r>
    </w:p>
    <w:p>
      <w:pPr>
        <w:pStyle w:val="ListParagraph"/>
        <w:numPr>
          <w:ilvl w:val="0"/>
          <w:numId w:val="2"/>
        </w:numPr>
        <w:spacing w:after="100"/>
      </w:pPr>
      <w:r>
        <w:rPr>
          <w:b/>
          <w:bCs/>
        </w:rPr>
        <w:t xml:space="preserve">Database Field: </w:t>
      </w:r>
      <w:r>
        <w:t xml:space="preserve">assigned_to (References sys_user; present on cmdb_ci — chiefly Computer — for device assignment, and separately on task tables where it identifies the ticket resolver)</w:t>
      </w:r>
    </w:p>
    <w:p>
      <w:pPr>
        <w:pStyle w:val="ListParagraph"/>
        <w:numPr>
          <w:ilvl w:val="0"/>
          <w:numId w:val="2"/>
        </w:numPr>
        <w:spacing w:after="100"/>
      </w:pPr>
      <w:r>
        <w:rPr>
          <w:b/>
          <w:bCs/>
        </w:rPr>
        <w:t xml:space="preserve">What It Represents: </w:t>
      </w:r>
      <w:r>
        <w:t xml:space="preserve">On a CI record, the end user to whom the CI is physically or logically assigned (who “has” the device). On a task record, the resolver currently assigned to work the ticket. Same field name, two different meanings depending on the table.</w:t>
      </w:r>
    </w:p>
    <w:p>
      <w:pPr>
        <w:pStyle w:val="ListParagraph"/>
        <w:numPr>
          <w:ilvl w:val="0"/>
          <w:numId w:val="2"/>
        </w:numPr>
        <w:spacing w:after="100"/>
      </w:pPr>
      <w:r>
        <w:rPr>
          <w:b/>
          <w:bCs/>
        </w:rPr>
        <w:t xml:space="preserve">Key Question Answered: </w:t>
      </w:r>
      <w:r>
        <w:t xml:space="preserve">“Who currently has this device? Or, on a ticket: who is actively working it right now?”</w:t>
      </w:r>
    </w:p>
    <w:p>
      <w:pPr>
        <w:pStyle w:val="ListParagraph"/>
        <w:numPr>
          <w:ilvl w:val="0"/>
          <w:numId w:val="2"/>
        </w:numPr>
        <w:spacing w:after="100"/>
      </w:pPr>
      <w:r>
        <w:rPr>
          <w:b/>
          <w:bCs/>
        </w:rPr>
        <w:t xml:space="preserve">CSDM &amp; Platform Best Practice: </w:t>
      </w:r>
      <w:r>
        <w:t xml:space="preserve">Do not confuse CI-level assigned_to (asset accountability) with task-level assigned_to (active ticket ownership) — it is not an ITSM routing field on CI records.</w:t>
      </w:r>
    </w:p>
    <w:p>
      <w:pPr>
        <w:pStyle w:val="ListParagraph"/>
        <w:numPr>
          <w:ilvl w:val="0"/>
          <w:numId w:val="2"/>
        </w:numPr>
        <w:spacing w:after="100"/>
      </w:pPr>
      <w:r>
        <w:rPr>
          <w:b/>
          <w:bCs/>
        </w:rPr>
        <w:t xml:space="preserve">Platform Functionality Relying On It:</w:t>
      </w:r>
    </w:p>
    <w:p>
      <w:pPr>
        <w:pStyle w:val="ListParagraph"/>
        <w:numPr>
          <w:ilvl w:val="1"/>
          <w:numId w:val="2"/>
        </w:numPr>
        <w:spacing w:after="100"/>
      </w:pPr>
      <w:r>
        <w:rPr>
          <w:b/>
          <w:bCs/>
        </w:rPr>
        <w:t xml:space="preserve">Asset Accountability Reporting (CI-level): </w:t>
      </w:r>
      <w:r>
        <w:t xml:space="preserve">Identifies who currently holds a Computer CI for audit and refresh-cycle purposes.</w:t>
      </w:r>
    </w:p>
    <w:p>
      <w:pPr>
        <w:pStyle w:val="ListParagraph"/>
        <w:numPr>
          <w:ilvl w:val="1"/>
          <w:numId w:val="2"/>
        </w:numPr>
        <w:spacing w:after="100"/>
      </w:pPr>
      <w:r>
        <w:rPr>
          <w:b/>
          <w:bCs/>
        </w:rPr>
        <w:t xml:space="preserve">SLA Assignment &amp; Escalation (task-level): </w:t>
      </w:r>
      <w:r>
        <w:t xml:space="preserve">Drives individual-level SLA tracking and escalation once a ticket has been assigned within a group.</w:t>
      </w:r>
    </w:p>
    <w:p>
      <w:pPr>
        <w:pBdr>
          <w:bottom w:val="single" w:color="999999" w:sz="6" w:space="1"/>
        </w:pBdr>
        <w:spacing w:after="200"/>
      </w:pPr>
    </w:p>
    <w:p>
      <w:pPr>
        <w:pStyle w:val="Heading2"/>
        <w:spacing w:after="150" w:before="300"/>
      </w:pPr>
      <w:r>
        <w:t xml:space="preserve">Summary of Group &amp; Ownership Attributes Across the CI Lifecycle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500"/>
        <w:gridCol w:w="2600"/>
        <w:gridCol w:w="2900"/>
      </w:tblGrid>
      <w:tr>
        <w:trPr>
          <w:tblHeader/>
        </w:trPr>
        <w:tc>
          <w:tcPr>
            <w:tcW w:type="dxa" w:w="1900"/>
            <w:shd w:fill="1F3864" w:color="auto" w:val="clear"/>
            <w:tcMar>
              <w:top w:type="dxa" w:w="80"/>
              <w:left w:type="dxa" w:w="100"/>
              <w:bottom w:type="dxa" w:w="80"/>
              <w:right w:type="dxa" w:w="100"/>
            </w:tcMar>
          </w:tcPr>
          <w:p>
            <w:r>
              <w:rPr>
                <w:b/>
                <w:bCs/>
                <w:color w:val="FFFFFF"/>
                <w:sz w:val="20"/>
                <w:szCs w:val="20"/>
              </w:rPr>
              <w:t xml:space="preserve">Attribute Name</w:t>
            </w:r>
          </w:p>
        </w:tc>
        <w:tc>
          <w:tcPr>
            <w:tcW w:type="dxa" w:w="1500"/>
            <w:shd w:fill="1F3864" w:color="auto" w:val="clear"/>
            <w:tcMar>
              <w:top w:type="dxa" w:w="80"/>
              <w:left w:type="dxa" w:w="100"/>
              <w:bottom w:type="dxa" w:w="80"/>
              <w:right w:type="dxa" w:w="100"/>
            </w:tcMar>
          </w:tcPr>
          <w:p>
            <w:r>
              <w:rPr>
                <w:b/>
                <w:bCs/>
                <w:color w:val="FFFFFF"/>
                <w:sz w:val="20"/>
                <w:szCs w:val="20"/>
              </w:rPr>
              <w:t xml:space="preserve">OOB Field</w:t>
            </w:r>
          </w:p>
        </w:tc>
        <w:tc>
          <w:tcPr>
            <w:tcW w:type="dxa" w:w="1500"/>
            <w:shd w:fill="1F3864" w:color="auto" w:val="clear"/>
            <w:tcMar>
              <w:top w:type="dxa" w:w="80"/>
              <w:left w:type="dxa" w:w="100"/>
              <w:bottom w:type="dxa" w:w="80"/>
              <w:right w:type="dxa" w:w="100"/>
            </w:tcMar>
          </w:tcPr>
          <w:p>
            <w:r>
              <w:rPr>
                <w:b/>
                <w:bCs/>
                <w:color w:val="FFFFFF"/>
                <w:sz w:val="20"/>
                <w:szCs w:val="20"/>
              </w:rPr>
              <w:t xml:space="preserve">Target Table</w:t>
            </w:r>
          </w:p>
        </w:tc>
        <w:tc>
          <w:tcPr>
            <w:tcW w:type="dxa" w:w="2600"/>
            <w:shd w:fill="1F3864" w:color="auto" w:val="clear"/>
            <w:tcMar>
              <w:top w:type="dxa" w:w="80"/>
              <w:left w:type="dxa" w:w="100"/>
              <w:bottom w:type="dxa" w:w="80"/>
              <w:right w:type="dxa" w:w="100"/>
            </w:tcMar>
          </w:tcPr>
          <w:p>
            <w:r>
              <w:rPr>
                <w:b/>
                <w:bCs/>
                <w:color w:val="FFFFFF"/>
                <w:sz w:val="20"/>
                <w:szCs w:val="20"/>
              </w:rPr>
              <w:t xml:space="preserve">Primary Responsibility</w:t>
            </w:r>
          </w:p>
        </w:tc>
        <w:tc>
          <w:tcPr>
            <w:tcW w:type="dxa" w:w="2900"/>
            <w:shd w:fill="1F3864" w:color="auto" w:val="clear"/>
            <w:tcMar>
              <w:top w:type="dxa" w:w="80"/>
              <w:left w:type="dxa" w:w="100"/>
              <w:bottom w:type="dxa" w:w="80"/>
              <w:right w:type="dxa" w:w="100"/>
            </w:tcMar>
          </w:tcPr>
          <w:p>
            <w:r>
              <w:rPr>
                <w:b/>
                <w:bCs/>
                <w:color w:val="FFFFFF"/>
                <w:sz w:val="20"/>
                <w:szCs w:val="20"/>
              </w:rPr>
              <w:t xml:space="preserve">Primary Workflow Trigger</w:t>
            </w:r>
          </w:p>
        </w:tc>
      </w:tr>
      <w:tr>
        <w:tc>
          <w:tcPr>
            <w:tcW w:type="dxa" w:w="1900"/>
            <w:tcMar>
              <w:top w:type="dxa" w:w="80"/>
              <w:left w:type="dxa" w:w="100"/>
              <w:bottom w:type="dxa" w:w="80"/>
              <w:right w:type="dxa" w:w="100"/>
            </w:tcMar>
          </w:tcPr>
          <w:p>
            <w:r>
              <w:rPr>
                <w:b w:val="false"/>
                <w:bCs w:val="false"/>
                <w:sz w:val="20"/>
                <w:szCs w:val="20"/>
              </w:rPr>
              <w:t xml:space="preserve">Support Group</w:t>
            </w:r>
          </w:p>
        </w:tc>
        <w:tc>
          <w:tcPr>
            <w:tcW w:type="dxa" w:w="1500"/>
            <w:tcMar>
              <w:top w:type="dxa" w:w="80"/>
              <w:left w:type="dxa" w:w="100"/>
              <w:bottom w:type="dxa" w:w="80"/>
              <w:right w:type="dxa" w:w="100"/>
            </w:tcMar>
          </w:tcPr>
          <w:p>
            <w:r>
              <w:rPr>
                <w:b w:val="false"/>
                <w:bCs w:val="false"/>
                <w:sz w:val="20"/>
                <w:szCs w:val="20"/>
              </w:rPr>
              <w:t xml:space="preserve">support_group</w:t>
            </w:r>
          </w:p>
        </w:tc>
        <w:tc>
          <w:tcPr>
            <w:tcW w:type="dxa" w:w="1500"/>
            <w:tcMar>
              <w:top w:type="dxa" w:w="80"/>
              <w:left w:type="dxa" w:w="100"/>
              <w:bottom w:type="dxa" w:w="80"/>
              <w:right w:type="dxa" w:w="100"/>
            </w:tcMar>
          </w:tcPr>
          <w:p>
            <w:r>
              <w:rPr>
                <w:b w:val="false"/>
                <w:bCs w:val="false"/>
                <w:sz w:val="20"/>
                <w:szCs w:val="20"/>
              </w:rPr>
              <w:t xml:space="preserve">cmdb_ci</w:t>
            </w:r>
          </w:p>
        </w:tc>
        <w:tc>
          <w:tcPr>
            <w:tcW w:type="dxa" w:w="2600"/>
            <w:tcMar>
              <w:top w:type="dxa" w:w="80"/>
              <w:left w:type="dxa" w:w="100"/>
              <w:bottom w:type="dxa" w:w="80"/>
              <w:right w:type="dxa" w:w="100"/>
            </w:tcMar>
          </w:tcPr>
          <w:p>
            <w:r>
              <w:rPr>
                <w:b w:val="false"/>
                <w:bCs w:val="false"/>
                <w:sz w:val="20"/>
                <w:szCs w:val="20"/>
              </w:rPr>
              <w:t xml:space="preserve">Incident Resolution</w:t>
            </w:r>
          </w:p>
        </w:tc>
        <w:tc>
          <w:tcPr>
            <w:tcW w:type="dxa" w:w="2900"/>
            <w:tcMar>
              <w:top w:type="dxa" w:w="80"/>
              <w:left w:type="dxa" w:w="100"/>
              <w:bottom w:type="dxa" w:w="80"/>
              <w:right w:type="dxa" w:w="100"/>
            </w:tcMar>
          </w:tcPr>
          <w:p>
            <w:r>
              <w:rPr>
                <w:b w:val="false"/>
                <w:bCs w:val="false"/>
                <w:sz w:val="20"/>
                <w:szCs w:val="20"/>
              </w:rPr>
              <w:t xml:space="preserve">Incident auto-routing &amp; ITOM Alert management</w:t>
            </w:r>
          </w:p>
        </w:tc>
      </w:tr>
      <w:tr>
        <w:tc>
          <w:tcPr>
            <w:tcW w:type="dxa" w:w="1900"/>
            <w:tcMar>
              <w:top w:type="dxa" w:w="80"/>
              <w:left w:type="dxa" w:w="100"/>
              <w:bottom w:type="dxa" w:w="80"/>
              <w:right w:type="dxa" w:w="100"/>
            </w:tcMar>
          </w:tcPr>
          <w:p>
            <w:r>
              <w:rPr>
                <w:b w:val="false"/>
                <w:bCs w:val="false"/>
                <w:sz w:val="20"/>
                <w:szCs w:val="20"/>
              </w:rPr>
              <w:t xml:space="preserve">Change Control / Approval Group</w:t>
            </w:r>
          </w:p>
        </w:tc>
        <w:tc>
          <w:tcPr>
            <w:tcW w:type="dxa" w:w="1500"/>
            <w:tcMar>
              <w:top w:type="dxa" w:w="80"/>
              <w:left w:type="dxa" w:w="100"/>
              <w:bottom w:type="dxa" w:w="80"/>
              <w:right w:type="dxa" w:w="100"/>
            </w:tcMar>
          </w:tcPr>
          <w:p>
            <w:r>
              <w:rPr>
                <w:b w:val="false"/>
                <w:bCs w:val="false"/>
                <w:sz w:val="20"/>
                <w:szCs w:val="20"/>
              </w:rPr>
              <w:t xml:space="preserve">change_control</w:t>
            </w:r>
          </w:p>
        </w:tc>
        <w:tc>
          <w:tcPr>
            <w:tcW w:type="dxa" w:w="1500"/>
            <w:tcMar>
              <w:top w:type="dxa" w:w="80"/>
              <w:left w:type="dxa" w:w="100"/>
              <w:bottom w:type="dxa" w:w="80"/>
              <w:right w:type="dxa" w:w="100"/>
            </w:tcMar>
          </w:tcPr>
          <w:p>
            <w:r>
              <w:rPr>
                <w:b w:val="false"/>
                <w:bCs w:val="false"/>
                <w:sz w:val="20"/>
                <w:szCs w:val="20"/>
              </w:rPr>
              <w:t xml:space="preserve">cmdb_ci</w:t>
            </w:r>
          </w:p>
        </w:tc>
        <w:tc>
          <w:tcPr>
            <w:tcW w:type="dxa" w:w="2600"/>
            <w:tcMar>
              <w:top w:type="dxa" w:w="80"/>
              <w:left w:type="dxa" w:w="100"/>
              <w:bottom w:type="dxa" w:w="80"/>
              <w:right w:type="dxa" w:w="100"/>
            </w:tcMar>
          </w:tcPr>
          <w:p>
            <w:r>
              <w:rPr>
                <w:b w:val="false"/>
                <w:bCs w:val="false"/>
                <w:sz w:val="20"/>
                <w:szCs w:val="20"/>
              </w:rPr>
              <w:t xml:space="preserve">Change Sign-Off</w:t>
            </w:r>
          </w:p>
        </w:tc>
        <w:tc>
          <w:tcPr>
            <w:tcW w:type="dxa" w:w="2900"/>
            <w:tcMar>
              <w:top w:type="dxa" w:w="80"/>
              <w:left w:type="dxa" w:w="100"/>
              <w:bottom w:type="dxa" w:w="80"/>
              <w:right w:type="dxa" w:w="100"/>
            </w:tcMar>
          </w:tcPr>
          <w:p>
            <w:r>
              <w:rPr>
                <w:b w:val="false"/>
                <w:bCs w:val="false"/>
                <w:sz w:val="20"/>
                <w:szCs w:val="20"/>
              </w:rPr>
              <w:t xml:space="preserve">Change Request approval engine &amp; CAB routing</w:t>
            </w:r>
          </w:p>
        </w:tc>
      </w:tr>
      <w:tr>
        <w:tc>
          <w:tcPr>
            <w:tcW w:type="dxa" w:w="1900"/>
            <w:tcMar>
              <w:top w:type="dxa" w:w="80"/>
              <w:left w:type="dxa" w:w="100"/>
              <w:bottom w:type="dxa" w:w="80"/>
              <w:right w:type="dxa" w:w="100"/>
            </w:tcMar>
          </w:tcPr>
          <w:p>
            <w:r>
              <w:rPr>
                <w:b w:val="false"/>
                <w:bCs w:val="false"/>
                <w:sz w:val="20"/>
                <w:szCs w:val="20"/>
              </w:rPr>
              <w:t xml:space="preserve">Owned By</w:t>
            </w:r>
          </w:p>
        </w:tc>
        <w:tc>
          <w:tcPr>
            <w:tcW w:type="dxa" w:w="1500"/>
            <w:tcMar>
              <w:top w:type="dxa" w:w="80"/>
              <w:left w:type="dxa" w:w="100"/>
              <w:bottom w:type="dxa" w:w="80"/>
              <w:right w:type="dxa" w:w="100"/>
            </w:tcMar>
          </w:tcPr>
          <w:p>
            <w:r>
              <w:rPr>
                <w:b w:val="false"/>
                <w:bCs w:val="false"/>
                <w:sz w:val="20"/>
                <w:szCs w:val="20"/>
              </w:rPr>
              <w:t xml:space="preserve">owned_by</w:t>
            </w:r>
          </w:p>
        </w:tc>
        <w:tc>
          <w:tcPr>
            <w:tcW w:type="dxa" w:w="1500"/>
            <w:tcMar>
              <w:top w:type="dxa" w:w="80"/>
              <w:left w:type="dxa" w:w="100"/>
              <w:bottom w:type="dxa" w:w="80"/>
              <w:right w:type="dxa" w:w="100"/>
            </w:tcMar>
          </w:tcPr>
          <w:p>
            <w:r>
              <w:rPr>
                <w:b w:val="false"/>
                <w:bCs w:val="false"/>
                <w:sz w:val="20"/>
                <w:szCs w:val="20"/>
              </w:rPr>
              <w:t xml:space="preserve">cmdb_ci</w:t>
            </w:r>
          </w:p>
        </w:tc>
        <w:tc>
          <w:tcPr>
            <w:tcW w:type="dxa" w:w="2600"/>
            <w:tcMar>
              <w:top w:type="dxa" w:w="80"/>
              <w:left w:type="dxa" w:w="100"/>
              <w:bottom w:type="dxa" w:w="80"/>
              <w:right w:type="dxa" w:w="100"/>
            </w:tcMar>
          </w:tcPr>
          <w:p>
            <w:r>
              <w:rPr>
                <w:b w:val="false"/>
                <w:bCs w:val="false"/>
                <w:sz w:val="20"/>
                <w:szCs w:val="20"/>
              </w:rPr>
              <w:t xml:space="preserve">CI Accountability (uptime/data accuracy)</w:t>
            </w:r>
          </w:p>
        </w:tc>
        <w:tc>
          <w:tcPr>
            <w:tcW w:type="dxa" w:w="2900"/>
            <w:tcMar>
              <w:top w:type="dxa" w:w="80"/>
              <w:left w:type="dxa" w:w="100"/>
              <w:bottom w:type="dxa" w:w="80"/>
              <w:right w:type="dxa" w:w="100"/>
            </w:tcMar>
          </w:tcPr>
          <w:p>
            <w:r>
              <w:rPr>
                <w:b w:val="false"/>
                <w:bCs w:val="false"/>
                <w:sz w:val="20"/>
                <w:szCs w:val="20"/>
              </w:rPr>
              <w:t xml:space="preserve">Data Certification task assignment; CMDB Health audit — no ITSM routing. PPL currently labels managed_by, not this field, “CI Owner” — open CCB item (ownership-terminology-mapping O3/O5)</w:t>
            </w:r>
          </w:p>
        </w:tc>
      </w:tr>
      <w:tr>
        <w:tc>
          <w:tcPr>
            <w:tcW w:type="dxa" w:w="1900"/>
            <w:tcMar>
              <w:top w:type="dxa" w:w="80"/>
              <w:left w:type="dxa" w:w="100"/>
              <w:bottom w:type="dxa" w:w="80"/>
              <w:right w:type="dxa" w:w="100"/>
            </w:tcMar>
          </w:tcPr>
          <w:p>
            <w:r>
              <w:rPr>
                <w:b w:val="false"/>
                <w:bCs w:val="false"/>
                <w:sz w:val="20"/>
                <w:szCs w:val="20"/>
              </w:rPr>
              <w:t xml:space="preserve">Managed By</w:t>
            </w:r>
          </w:p>
        </w:tc>
        <w:tc>
          <w:tcPr>
            <w:tcW w:type="dxa" w:w="1500"/>
            <w:tcMar>
              <w:top w:type="dxa" w:w="80"/>
              <w:left w:type="dxa" w:w="100"/>
              <w:bottom w:type="dxa" w:w="80"/>
              <w:right w:type="dxa" w:w="100"/>
            </w:tcMar>
          </w:tcPr>
          <w:p>
            <w:r>
              <w:rPr>
                <w:b w:val="false"/>
                <w:bCs w:val="false"/>
                <w:sz w:val="20"/>
                <w:szCs w:val="20"/>
              </w:rPr>
              <w:t xml:space="preserve">managed_by</w:t>
            </w:r>
          </w:p>
        </w:tc>
        <w:tc>
          <w:tcPr>
            <w:tcW w:type="dxa" w:w="1500"/>
            <w:tcMar>
              <w:top w:type="dxa" w:w="80"/>
              <w:left w:type="dxa" w:w="100"/>
              <w:bottom w:type="dxa" w:w="80"/>
              <w:right w:type="dxa" w:w="100"/>
            </w:tcMar>
          </w:tcPr>
          <w:p>
            <w:r>
              <w:rPr>
                <w:b w:val="false"/>
                <w:bCs w:val="false"/>
                <w:sz w:val="20"/>
                <w:szCs w:val="20"/>
              </w:rPr>
              <w:t xml:space="preserve">cmdb_ci</w:t>
            </w:r>
          </w:p>
        </w:tc>
        <w:tc>
          <w:tcPr>
            <w:tcW w:type="dxa" w:w="2600"/>
            <w:tcMar>
              <w:top w:type="dxa" w:w="80"/>
              <w:left w:type="dxa" w:w="100"/>
              <w:bottom w:type="dxa" w:w="80"/>
              <w:right w:type="dxa" w:w="100"/>
            </w:tcMar>
          </w:tcPr>
          <w:p>
            <w:r>
              <w:rPr>
                <w:b w:val="false"/>
                <w:bCs w:val="false"/>
                <w:sz w:val="20"/>
                <w:szCs w:val="20"/>
              </w:rPr>
              <w:t xml:space="preserve">Day-to-Day Operational Management (reporting)</w:t>
            </w:r>
          </w:p>
        </w:tc>
        <w:tc>
          <w:tcPr>
            <w:tcW w:type="dxa" w:w="2900"/>
            <w:tcMar>
              <w:top w:type="dxa" w:w="80"/>
              <w:left w:type="dxa" w:w="100"/>
              <w:bottom w:type="dxa" w:w="80"/>
              <w:right w:type="dxa" w:w="100"/>
            </w:tcMar>
          </w:tcPr>
          <w:p>
            <w:r>
              <w:rPr>
                <w:b w:val="false"/>
                <w:bCs w:val="false"/>
                <w:sz w:val="20"/>
                <w:szCs w:val="20"/>
              </w:rPr>
              <w:t xml:space="preserve">Management-hierarchy reporting/Discovery — no primary ITSM routing OOB</w:t>
            </w:r>
          </w:p>
        </w:tc>
      </w:tr>
      <w:tr>
        <w:tc>
          <w:tcPr>
            <w:tcW w:type="dxa" w:w="1900"/>
            <w:tcMar>
              <w:top w:type="dxa" w:w="80"/>
              <w:left w:type="dxa" w:w="100"/>
              <w:bottom w:type="dxa" w:w="80"/>
              <w:right w:type="dxa" w:w="100"/>
            </w:tcMar>
          </w:tcPr>
          <w:p>
            <w:r>
              <w:rPr>
                <w:b w:val="false"/>
                <w:bCs w:val="false"/>
                <w:sz w:val="20"/>
                <w:szCs w:val="20"/>
              </w:rPr>
              <w:t xml:space="preserve">Managed by Group</w:t>
            </w:r>
          </w:p>
        </w:tc>
        <w:tc>
          <w:tcPr>
            <w:tcW w:type="dxa" w:w="1500"/>
            <w:tcMar>
              <w:top w:type="dxa" w:w="80"/>
              <w:left w:type="dxa" w:w="100"/>
              <w:bottom w:type="dxa" w:w="80"/>
              <w:right w:type="dxa" w:w="100"/>
            </w:tcMar>
          </w:tcPr>
          <w:p>
            <w:r>
              <w:rPr>
                <w:b w:val="false"/>
                <w:bCs w:val="false"/>
                <w:sz w:val="20"/>
                <w:szCs w:val="20"/>
              </w:rPr>
              <w:t xml:space="preserve">managed_by_group</w:t>
            </w:r>
          </w:p>
        </w:tc>
        <w:tc>
          <w:tcPr>
            <w:tcW w:type="dxa" w:w="1500"/>
            <w:tcMar>
              <w:top w:type="dxa" w:w="80"/>
              <w:left w:type="dxa" w:w="100"/>
              <w:bottom w:type="dxa" w:w="80"/>
              <w:right w:type="dxa" w:w="100"/>
            </w:tcMar>
          </w:tcPr>
          <w:p>
            <w:r>
              <w:rPr>
                <w:b w:val="false"/>
                <w:bCs w:val="false"/>
                <w:sz w:val="20"/>
                <w:szCs w:val="20"/>
              </w:rPr>
              <w:t xml:space="preserve">cmdb_ci</w:t>
            </w:r>
          </w:p>
        </w:tc>
        <w:tc>
          <w:tcPr>
            <w:tcW w:type="dxa" w:w="2600"/>
            <w:tcMar>
              <w:top w:type="dxa" w:w="80"/>
              <w:left w:type="dxa" w:w="100"/>
              <w:bottom w:type="dxa" w:w="80"/>
              <w:right w:type="dxa" w:w="100"/>
            </w:tcMar>
          </w:tcPr>
          <w:p>
            <w:r>
              <w:rPr>
                <w:b w:val="false"/>
                <w:bCs w:val="false"/>
                <w:sz w:val="20"/>
                <w:szCs w:val="20"/>
              </w:rPr>
              <w:t xml:space="preserve">Data &amp; Lifecycle Governance (reporting)</w:t>
            </w:r>
          </w:p>
        </w:tc>
        <w:tc>
          <w:tcPr>
            <w:tcW w:type="dxa" w:w="2900"/>
            <w:tcMar>
              <w:top w:type="dxa" w:w="80"/>
              <w:left w:type="dxa" w:w="100"/>
              <w:bottom w:type="dxa" w:w="80"/>
              <w:right w:type="dxa" w:w="100"/>
            </w:tcMar>
          </w:tcPr>
          <w:p>
            <w:r>
              <w:rPr>
                <w:b w:val="false"/>
                <w:bCs w:val="false"/>
                <w:sz w:val="20"/>
                <w:szCs w:val="20"/>
              </w:rPr>
              <w:t xml:space="preserve">Reporting/Discovery hierarchy only — low OOB functional impact per confirmed PPL research (ownership-terminology-mapping, S3); attestation/retirement workflows not yet verified as tied to this field</w:t>
            </w:r>
          </w:p>
        </w:tc>
      </w:tr>
      <w:tr>
        <w:tc>
          <w:tcPr>
            <w:tcW w:type="dxa" w:w="1900"/>
            <w:tcMar>
              <w:top w:type="dxa" w:w="80"/>
              <w:left w:type="dxa" w:w="100"/>
              <w:bottom w:type="dxa" w:w="80"/>
              <w:right w:type="dxa" w:w="100"/>
            </w:tcMar>
          </w:tcPr>
          <w:p>
            <w:r>
              <w:rPr>
                <w:b w:val="false"/>
                <w:bCs w:val="false"/>
                <w:sz w:val="20"/>
                <w:szCs w:val="20"/>
              </w:rPr>
              <w:t xml:space="preserve">Assignment Group</w:t>
            </w:r>
          </w:p>
        </w:tc>
        <w:tc>
          <w:tcPr>
            <w:tcW w:type="dxa" w:w="1500"/>
            <w:tcMar>
              <w:top w:type="dxa" w:w="80"/>
              <w:left w:type="dxa" w:w="100"/>
              <w:bottom w:type="dxa" w:w="80"/>
              <w:right w:type="dxa" w:w="100"/>
            </w:tcMar>
          </w:tcPr>
          <w:p>
            <w:r>
              <w:rPr>
                <w:b w:val="false"/>
                <w:bCs w:val="false"/>
                <w:sz w:val="20"/>
                <w:szCs w:val="20"/>
              </w:rPr>
              <w:t xml:space="preserve">assignment_group</w:t>
            </w:r>
          </w:p>
        </w:tc>
        <w:tc>
          <w:tcPr>
            <w:tcW w:type="dxa" w:w="1500"/>
            <w:tcMar>
              <w:top w:type="dxa" w:w="80"/>
              <w:left w:type="dxa" w:w="100"/>
              <w:bottom w:type="dxa" w:w="80"/>
              <w:right w:type="dxa" w:w="100"/>
            </w:tcMar>
          </w:tcPr>
          <w:p>
            <w:r>
              <w:rPr>
                <w:b w:val="false"/>
                <w:bCs w:val="false"/>
                <w:sz w:val="20"/>
                <w:szCs w:val="20"/>
              </w:rPr>
              <w:t xml:space="preserve">task (derived)</w:t>
            </w:r>
          </w:p>
        </w:tc>
        <w:tc>
          <w:tcPr>
            <w:tcW w:type="dxa" w:w="2600"/>
            <w:tcMar>
              <w:top w:type="dxa" w:w="80"/>
              <w:left w:type="dxa" w:w="100"/>
              <w:bottom w:type="dxa" w:w="80"/>
              <w:right w:type="dxa" w:w="100"/>
            </w:tcMar>
          </w:tcPr>
          <w:p>
            <w:r>
              <w:rPr>
                <w:b w:val="false"/>
                <w:bCs w:val="false"/>
                <w:sz w:val="20"/>
                <w:szCs w:val="20"/>
              </w:rPr>
              <w:t xml:space="preserve">Active Task Execution</w:t>
            </w:r>
          </w:p>
        </w:tc>
        <w:tc>
          <w:tcPr>
            <w:tcW w:type="dxa" w:w="2900"/>
            <w:tcMar>
              <w:top w:type="dxa" w:w="80"/>
              <w:left w:type="dxa" w:w="100"/>
              <w:bottom w:type="dxa" w:w="80"/>
              <w:right w:type="dxa" w:w="100"/>
            </w:tcMar>
          </w:tcPr>
          <w:p>
            <w:r>
              <w:rPr>
                <w:b w:val="false"/>
                <w:bCs w:val="false"/>
                <w:sz w:val="20"/>
                <w:szCs w:val="20"/>
              </w:rPr>
              <w:t xml:space="preserve">Daily squad task queues, SLA tracking &amp; MTTR reporting</w:t>
            </w:r>
          </w:p>
        </w:tc>
      </w:tr>
      <w:tr>
        <w:tc>
          <w:tcPr>
            <w:tcW w:type="dxa" w:w="1900"/>
            <w:tcMar>
              <w:top w:type="dxa" w:w="80"/>
              <w:left w:type="dxa" w:w="100"/>
              <w:bottom w:type="dxa" w:w="80"/>
              <w:right w:type="dxa" w:w="100"/>
            </w:tcMar>
          </w:tcPr>
          <w:p>
            <w:r>
              <w:rPr>
                <w:b w:val="false"/>
                <w:bCs w:val="false"/>
                <w:sz w:val="20"/>
                <w:szCs w:val="20"/>
              </w:rPr>
              <w:t xml:space="preserve">Assigned To</w:t>
            </w:r>
          </w:p>
        </w:tc>
        <w:tc>
          <w:tcPr>
            <w:tcW w:type="dxa" w:w="1500"/>
            <w:tcMar>
              <w:top w:type="dxa" w:w="80"/>
              <w:left w:type="dxa" w:w="100"/>
              <w:bottom w:type="dxa" w:w="80"/>
              <w:right w:type="dxa" w:w="100"/>
            </w:tcMar>
          </w:tcPr>
          <w:p>
            <w:r>
              <w:rPr>
                <w:b w:val="false"/>
                <w:bCs w:val="false"/>
                <w:sz w:val="20"/>
                <w:szCs w:val="20"/>
              </w:rPr>
              <w:t xml:space="preserve">assigned_to</w:t>
            </w:r>
          </w:p>
        </w:tc>
        <w:tc>
          <w:tcPr>
            <w:tcW w:type="dxa" w:w="1500"/>
            <w:tcMar>
              <w:top w:type="dxa" w:w="80"/>
              <w:left w:type="dxa" w:w="100"/>
              <w:bottom w:type="dxa" w:w="80"/>
              <w:right w:type="dxa" w:w="100"/>
            </w:tcMar>
          </w:tcPr>
          <w:p>
            <w:r>
              <w:rPr>
                <w:b w:val="false"/>
                <w:bCs w:val="false"/>
                <w:sz w:val="20"/>
                <w:szCs w:val="20"/>
              </w:rPr>
              <w:t xml:space="preserve">cmdb_ci (Computer) / task</w:t>
            </w:r>
          </w:p>
        </w:tc>
        <w:tc>
          <w:tcPr>
            <w:tcW w:type="dxa" w:w="2600"/>
            <w:tcMar>
              <w:top w:type="dxa" w:w="80"/>
              <w:left w:type="dxa" w:w="100"/>
              <w:bottom w:type="dxa" w:w="80"/>
              <w:right w:type="dxa" w:w="100"/>
            </w:tcMar>
          </w:tcPr>
          <w:p>
            <w:r>
              <w:rPr>
                <w:b w:val="false"/>
                <w:bCs w:val="false"/>
                <w:sz w:val="20"/>
                <w:szCs w:val="20"/>
              </w:rPr>
              <w:t xml:space="preserve">Device / Ticket Assignment</w:t>
            </w:r>
          </w:p>
        </w:tc>
        <w:tc>
          <w:tcPr>
            <w:tcW w:type="dxa" w:w="2900"/>
            <w:tcMar>
              <w:top w:type="dxa" w:w="80"/>
              <w:left w:type="dxa" w:w="100"/>
              <w:bottom w:type="dxa" w:w="80"/>
              <w:right w:type="dxa" w:w="100"/>
            </w:tcMar>
          </w:tcPr>
          <w:p>
            <w:r>
              <w:rPr>
                <w:b w:val="false"/>
                <w:bCs w:val="false"/>
                <w:sz w:val="20"/>
                <w:szCs w:val="20"/>
              </w:rPr>
              <w:t xml:space="preserve">Asset accountability (CI-level); SLA assignment &amp; escalation (task-level)</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2026-09-15T05:25:37.354Z</dcterms:created>
  <dcterms:modified xsi:type="dcterms:W3CDTF">2026-09-15T05:25:37.355Z</dcterms:modified>
</cp:coreProperties>
</file>

<file path=docProps/custom.xml><?xml version="1.0" encoding="utf-8"?>
<Properties xmlns="http://schemas.openxmlformats.org/officeDocument/2006/custom-properties" xmlns:vt="http://schemas.openxmlformats.org/officeDocument/2006/docPropsVTypes"/>
</file>