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sz w:val="22"/>
        </w:rPr>
        <w:t>Configuration Management Plan</w:t>
      </w:r>
    </w:p>
    <w:tbl>
      <w:tblPr>
        <w:tblStyle w:val="TableGrid"/>
        <w:tblW w:type="auto" w:w="0"/>
        <w:jc w:val="left"/>
        <w:tblLook w:firstColumn="1" w:firstRow="1" w:lastColumn="0" w:lastRow="0" w:noHBand="0" w:noVBand="1" w:val="04A0"/>
      </w:tblPr>
      <w:tblGrid>
        <w:gridCol w:w="4680"/>
        <w:gridCol w:w="4680"/>
      </w:tblGrid>
      <w:tr>
        <w:tc>
          <w:tcPr>
            <w:tcW w:type="dxa" w:w="4680"/>
            <w:vAlign w:val="center"/>
            <w:shd w:val="clear" w:color="auto" w:fill="2E75B6"/>
          </w:tcPr>
          <w:p>
            <w:pPr>
              <w:spacing w:before="40" w:after="40"/>
            </w:pPr>
            <w:r>
              <w:rPr>
                <w:b/>
                <w:color w:val="FFFFFF"/>
                <w:sz w:val="20"/>
              </w:rPr>
              <w:t>Field</w:t>
            </w:r>
          </w:p>
        </w:tc>
        <w:tc>
          <w:tcPr>
            <w:tcW w:type="dxa" w:w="4680"/>
            <w:vAlign w:val="center"/>
            <w:shd w:val="clear" w:color="auto" w:fill="2E75B6"/>
          </w:tcPr>
          <w:p>
            <w:pPr>
              <w:spacing w:before="40" w:after="40"/>
            </w:pPr>
            <w:r>
              <w:rPr>
                <w:b/>
                <w:color w:val="FFFFFF"/>
                <w:sz w:val="20"/>
              </w:rPr>
              <w:t>Value</w:t>
            </w:r>
          </w:p>
        </w:tc>
      </w:tr>
      <w:tr>
        <w:tc>
          <w:tcPr>
            <w:tcW w:type="dxa" w:w="4680"/>
            <w:vAlign w:val="center"/>
          </w:tcPr>
          <w:p>
            <w:pPr>
              <w:spacing w:before="40" w:after="40"/>
            </w:pPr>
            <w:r>
              <w:rPr>
                <w:b/>
                <w:sz w:val="20"/>
              </w:rPr>
              <w:t>Document Title</w:t>
            </w:r>
          </w:p>
        </w:tc>
        <w:tc>
          <w:tcPr>
            <w:tcW w:type="dxa" w:w="4680"/>
            <w:vAlign w:val="center"/>
          </w:tcPr>
          <w:p>
            <w:pPr>
              <w:spacing w:before="40" w:after="40"/>
            </w:pPr>
            <w:r>
              <w:rPr>
                <w:sz w:val="20"/>
              </w:rPr>
              <w:t>Configuration Management Plan</w:t>
            </w:r>
          </w:p>
        </w:tc>
      </w:tr>
      <w:tr>
        <w:tc>
          <w:tcPr>
            <w:tcW w:type="dxa" w:w="4680"/>
            <w:vAlign w:val="center"/>
            <w:shd w:val="clear" w:color="auto" w:fill="F2F7FB"/>
          </w:tcPr>
          <w:p>
            <w:pPr>
              <w:spacing w:before="40" w:after="40"/>
            </w:pPr>
            <w:r>
              <w:rPr>
                <w:b/>
                <w:sz w:val="20"/>
              </w:rPr>
              <w:t>Document ID</w:t>
            </w:r>
          </w:p>
        </w:tc>
        <w:tc>
          <w:tcPr>
            <w:tcW w:type="dxa" w:w="4680"/>
            <w:vAlign w:val="center"/>
            <w:shd w:val="clear" w:color="auto" w:fill="F2F7FB"/>
          </w:tcPr>
          <w:p>
            <w:pPr>
              <w:spacing w:before="40" w:after="40"/>
            </w:pPr>
            <w:r>
              <w:rPr>
                <w:sz w:val="20"/>
              </w:rPr>
              <w:t>CMP-[ORG]-001</w:t>
            </w:r>
          </w:p>
        </w:tc>
      </w:tr>
      <w:tr>
        <w:tc>
          <w:tcPr>
            <w:tcW w:type="dxa" w:w="4680"/>
            <w:vAlign w:val="center"/>
          </w:tcPr>
          <w:p>
            <w:pPr>
              <w:spacing w:before="40" w:after="40"/>
            </w:pPr>
            <w:r>
              <w:rPr>
                <w:b/>
                <w:sz w:val="20"/>
              </w:rPr>
              <w:t>Version</w:t>
            </w:r>
          </w:p>
        </w:tc>
        <w:tc>
          <w:tcPr>
            <w:tcW w:type="dxa" w:w="4680"/>
            <w:vAlign w:val="center"/>
          </w:tcPr>
          <w:p>
            <w:pPr>
              <w:spacing w:before="40" w:after="40"/>
            </w:pPr>
            <w:r>
              <w:rPr>
                <w:sz w:val="20"/>
              </w:rPr>
              <w:t>1.0</w:t>
            </w:r>
          </w:p>
        </w:tc>
      </w:tr>
      <w:tr>
        <w:tc>
          <w:tcPr>
            <w:tcW w:type="dxa" w:w="4680"/>
            <w:vAlign w:val="center"/>
            <w:shd w:val="clear" w:color="auto" w:fill="F2F7FB"/>
          </w:tcPr>
          <w:p>
            <w:pPr>
              <w:spacing w:before="40" w:after="40"/>
            </w:pPr>
            <w:r>
              <w:rPr>
                <w:b/>
                <w:sz w:val="20"/>
              </w:rPr>
              <w:t>Status</w:t>
            </w:r>
          </w:p>
        </w:tc>
        <w:tc>
          <w:tcPr>
            <w:tcW w:type="dxa" w:w="4680"/>
            <w:vAlign w:val="center"/>
            <w:shd w:val="clear" w:color="auto" w:fill="F2F7FB"/>
          </w:tcPr>
          <w:p>
            <w:pPr>
              <w:spacing w:before="40" w:after="40"/>
            </w:pPr>
            <w:r>
              <w:rPr>
                <w:sz w:val="20"/>
              </w:rPr>
              <w:t>Draft</w:t>
            </w:r>
          </w:p>
        </w:tc>
      </w:tr>
      <w:tr>
        <w:tc>
          <w:tcPr>
            <w:tcW w:type="dxa" w:w="4680"/>
            <w:vAlign w:val="center"/>
          </w:tcPr>
          <w:p>
            <w:pPr>
              <w:spacing w:before="40" w:after="40"/>
            </w:pPr>
            <w:r>
              <w:rPr>
                <w:b/>
                <w:sz w:val="20"/>
              </w:rPr>
              <w:t>Owner</w:t>
            </w:r>
          </w:p>
        </w:tc>
        <w:tc>
          <w:tcPr>
            <w:tcW w:type="dxa" w:w="4680"/>
            <w:vAlign w:val="center"/>
          </w:tcPr>
          <w:p>
            <w:pPr>
              <w:spacing w:before="40" w:after="40"/>
            </w:pPr>
            <w:r>
              <w:rPr>
                <w:sz w:val="20"/>
              </w:rPr>
              <w:t>[Name / Title]</w:t>
            </w:r>
          </w:p>
        </w:tc>
      </w:tr>
      <w:tr>
        <w:tc>
          <w:tcPr>
            <w:tcW w:type="dxa" w:w="4680"/>
            <w:vAlign w:val="center"/>
            <w:shd w:val="clear" w:color="auto" w:fill="F2F7FB"/>
          </w:tcPr>
          <w:p>
            <w:pPr>
              <w:spacing w:before="40" w:after="40"/>
            </w:pPr>
            <w:r>
              <w:rPr>
                <w:b/>
                <w:sz w:val="20"/>
              </w:rPr>
              <w:t>Approved By</w:t>
            </w:r>
          </w:p>
        </w:tc>
        <w:tc>
          <w:tcPr>
            <w:tcW w:type="dxa" w:w="4680"/>
            <w:vAlign w:val="center"/>
            <w:shd w:val="clear" w:color="auto" w:fill="F2F7FB"/>
          </w:tcPr>
          <w:p>
            <w:pPr>
              <w:spacing w:before="40" w:after="40"/>
            </w:pPr>
            <w:r>
              <w:rPr>
                <w:sz w:val="20"/>
              </w:rPr>
              <w:t>[Name / Title]</w:t>
            </w:r>
          </w:p>
        </w:tc>
      </w:tr>
      <w:tr>
        <w:tc>
          <w:tcPr>
            <w:tcW w:type="dxa" w:w="4680"/>
            <w:vAlign w:val="center"/>
          </w:tcPr>
          <w:p>
            <w:pPr>
              <w:spacing w:before="40" w:after="40"/>
            </w:pPr>
            <w:r>
              <w:rPr>
                <w:b/>
                <w:sz w:val="20"/>
              </w:rPr>
              <w:t>Effective Date</w:t>
            </w:r>
          </w:p>
        </w:tc>
        <w:tc>
          <w:tcPr>
            <w:tcW w:type="dxa" w:w="4680"/>
            <w:vAlign w:val="center"/>
          </w:tcPr>
          <w:p>
            <w:pPr>
              <w:spacing w:before="40" w:after="40"/>
            </w:pPr>
            <w:r>
              <w:rPr>
                <w:sz w:val="20"/>
              </w:rPr>
              <w:t>[YYYY-MM-DD]</w:t>
            </w:r>
          </w:p>
        </w:tc>
      </w:tr>
      <w:tr>
        <w:tc>
          <w:tcPr>
            <w:tcW w:type="dxa" w:w="4680"/>
            <w:vAlign w:val="center"/>
            <w:shd w:val="clear" w:color="auto" w:fill="F2F7FB"/>
          </w:tcPr>
          <w:p>
            <w:pPr>
              <w:spacing w:before="40" w:after="40"/>
            </w:pPr>
            <w:r>
              <w:rPr>
                <w:b/>
                <w:sz w:val="20"/>
              </w:rPr>
              <w:t>Next Review Date</w:t>
            </w:r>
          </w:p>
        </w:tc>
        <w:tc>
          <w:tcPr>
            <w:tcW w:type="dxa" w:w="4680"/>
            <w:vAlign w:val="center"/>
            <w:shd w:val="clear" w:color="auto" w:fill="F2F7FB"/>
          </w:tcPr>
          <w:p>
            <w:pPr>
              <w:spacing w:before="40" w:after="40"/>
            </w:pPr>
            <w:r>
              <w:rPr>
                <w:sz w:val="20"/>
              </w:rPr>
              <w:t>[YYYY-MM-DD] (annual minimum)</w:t>
            </w:r>
          </w:p>
        </w:tc>
      </w:tr>
    </w:tbl>
    <w:p/>
    <w:p>
      <w:pPr>
        <w:pBdr>
          <w:bottom w:val="single" w:sz="4" w:space="1" w:color="AAAAAA"/>
        </w:pBdr>
      </w:pPr>
    </w:p>
    <w:p>
      <w:pPr>
        <w:pStyle w:val="Heading2"/>
      </w:pPr>
      <w:r>
        <w:rPr>
          <w:sz w:val="22"/>
        </w:rPr>
        <w:t>Revision History</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2340"/>
            <w:vAlign w:val="center"/>
            <w:shd w:val="clear" w:color="auto" w:fill="2E75B6"/>
          </w:tcPr>
          <w:p>
            <w:pPr>
              <w:spacing w:before="40" w:after="40"/>
            </w:pPr>
            <w:r>
              <w:rPr>
                <w:b/>
                <w:color w:val="FFFFFF"/>
                <w:sz w:val="20"/>
              </w:rPr>
              <w:t>Version</w:t>
            </w:r>
          </w:p>
        </w:tc>
        <w:tc>
          <w:tcPr>
            <w:tcW w:type="dxa" w:w="2340"/>
            <w:vAlign w:val="center"/>
            <w:shd w:val="clear" w:color="auto" w:fill="2E75B6"/>
          </w:tcPr>
          <w:p>
            <w:pPr>
              <w:spacing w:before="40" w:after="40"/>
            </w:pPr>
            <w:r>
              <w:rPr>
                <w:b/>
                <w:color w:val="FFFFFF"/>
                <w:sz w:val="20"/>
              </w:rPr>
              <w:t>Date</w:t>
            </w:r>
          </w:p>
        </w:tc>
        <w:tc>
          <w:tcPr>
            <w:tcW w:type="dxa" w:w="2340"/>
            <w:vAlign w:val="center"/>
            <w:shd w:val="clear" w:color="auto" w:fill="2E75B6"/>
          </w:tcPr>
          <w:p>
            <w:pPr>
              <w:spacing w:before="40" w:after="40"/>
            </w:pPr>
            <w:r>
              <w:rPr>
                <w:b/>
                <w:color w:val="FFFFFF"/>
                <w:sz w:val="20"/>
              </w:rPr>
              <w:t>Author</w:t>
            </w:r>
          </w:p>
        </w:tc>
        <w:tc>
          <w:tcPr>
            <w:tcW w:type="dxa" w:w="2340"/>
            <w:vAlign w:val="center"/>
            <w:shd w:val="clear" w:color="auto" w:fill="2E75B6"/>
          </w:tcPr>
          <w:p>
            <w:pPr>
              <w:spacing w:before="40" w:after="40"/>
            </w:pPr>
            <w:r>
              <w:rPr>
                <w:b/>
                <w:color w:val="FFFFFF"/>
                <w:sz w:val="20"/>
              </w:rPr>
              <w:t>Description</w:t>
            </w:r>
          </w:p>
        </w:tc>
      </w:tr>
      <w:tr>
        <w:tc>
          <w:tcPr>
            <w:tcW w:type="dxa" w:w="2340"/>
            <w:vAlign w:val="center"/>
          </w:tcPr>
          <w:p>
            <w:pPr>
              <w:spacing w:before="40" w:after="40"/>
            </w:pPr>
            <w:r>
              <w:rPr>
                <w:sz w:val="20"/>
              </w:rPr>
              <w:t>1.0</w:t>
            </w:r>
          </w:p>
        </w:tc>
        <w:tc>
          <w:tcPr>
            <w:tcW w:type="dxa" w:w="2340"/>
            <w:vAlign w:val="center"/>
          </w:tcPr>
          <w:p>
            <w:pPr>
              <w:spacing w:before="40" w:after="40"/>
            </w:pPr>
            <w:r>
              <w:rPr>
                <w:sz w:val="20"/>
              </w:rPr>
              <w:t>[YYYY-MM-DD]</w:t>
            </w:r>
          </w:p>
        </w:tc>
        <w:tc>
          <w:tcPr>
            <w:tcW w:type="dxa" w:w="2340"/>
            <w:vAlign w:val="center"/>
          </w:tcPr>
          <w:p>
            <w:pPr>
              <w:spacing w:before="40" w:after="40"/>
            </w:pPr>
            <w:r>
              <w:rPr>
                <w:sz w:val="20"/>
              </w:rPr>
              <w:t>[Author]</w:t>
            </w:r>
          </w:p>
        </w:tc>
        <w:tc>
          <w:tcPr>
            <w:tcW w:type="dxa" w:w="2340"/>
            <w:vAlign w:val="center"/>
          </w:tcPr>
          <w:p>
            <w:pPr>
              <w:spacing w:before="40" w:after="40"/>
            </w:pPr>
            <w:r>
              <w:rPr>
                <w:sz w:val="20"/>
              </w:rPr>
              <w:t>Initial release</w:t>
            </w:r>
          </w:p>
        </w:tc>
      </w:tr>
    </w:tbl>
    <w:p/>
    <w:p>
      <w:pPr>
        <w:pBdr>
          <w:bottom w:val="single" w:sz="4" w:space="1" w:color="AAAAAA"/>
        </w:pBdr>
      </w:pPr>
    </w:p>
    <w:p>
      <w:pPr>
        <w:pStyle w:val="Heading2"/>
      </w:pPr>
      <w:r>
        <w:rPr>
          <w:sz w:val="22"/>
        </w:rPr>
        <w:t>Table of Contents</w:t>
      </w:r>
    </w:p>
    <w:p>
      <w:pPr>
        <w:pStyle w:val="ListNumber"/>
        <w:spacing w:after="40"/>
        <w:ind w:left="283"/>
      </w:pPr>
      <w:r>
        <w:rPr>
          <w:sz w:val="22"/>
        </w:rPr>
        <w:t>Purpose and Scope</w:t>
      </w:r>
    </w:p>
    <w:p>
      <w:pPr>
        <w:pStyle w:val="ListNumber"/>
        <w:spacing w:after="40"/>
        <w:ind w:left="283"/>
      </w:pPr>
      <w:r>
        <w:rPr>
          <w:sz w:val="22"/>
        </w:rPr>
        <w:t>Roles and Responsibilities</w:t>
      </w:r>
    </w:p>
    <w:p>
      <w:pPr>
        <w:pStyle w:val="ListNumber"/>
        <w:spacing w:after="40"/>
        <w:ind w:left="283"/>
      </w:pPr>
      <w:r>
        <w:rPr>
          <w:sz w:val="22"/>
        </w:rPr>
        <w:t>Baseline Configuration</w:t>
      </w:r>
    </w:p>
    <w:p>
      <w:pPr>
        <w:pStyle w:val="ListNumber"/>
        <w:spacing w:after="40"/>
        <w:ind w:left="283"/>
      </w:pPr>
      <w:r>
        <w:rPr>
          <w:sz w:val="22"/>
        </w:rPr>
        <w:t>Change Authorization Process</w:t>
      </w:r>
    </w:p>
    <w:p>
      <w:pPr>
        <w:pStyle w:val="ListNumber"/>
        <w:spacing w:after="40"/>
        <w:ind w:left="283"/>
      </w:pPr>
      <w:r>
        <w:rPr>
          <w:sz w:val="22"/>
        </w:rPr>
        <w:t>Change Documentation Standards</w:t>
      </w:r>
    </w:p>
    <w:p>
      <w:pPr>
        <w:pStyle w:val="ListNumber"/>
        <w:spacing w:after="40"/>
        <w:ind w:left="283"/>
      </w:pPr>
      <w:r>
        <w:rPr>
          <w:sz w:val="22"/>
        </w:rPr>
        <w:t>Control Impact Assessment</w:t>
      </w:r>
    </w:p>
    <w:p>
      <w:pPr>
        <w:pStyle w:val="ListNumber"/>
        <w:spacing w:after="40"/>
        <w:ind w:left="283"/>
      </w:pPr>
      <w:r>
        <w:rPr>
          <w:sz w:val="22"/>
        </w:rPr>
        <w:t>Post-Change Verification</w:t>
      </w:r>
    </w:p>
    <w:p>
      <w:pPr>
        <w:pStyle w:val="ListNumber"/>
        <w:spacing w:after="40"/>
        <w:ind w:left="283"/>
      </w:pPr>
      <w:r>
        <w:rPr>
          <w:sz w:val="22"/>
        </w:rPr>
        <w:t>Configuration Monitoring</w:t>
      </w:r>
    </w:p>
    <w:p>
      <w:pPr>
        <w:pStyle w:val="ListNumber"/>
        <w:spacing w:after="40"/>
        <w:ind w:left="283"/>
      </w:pPr>
      <w:r>
        <w:rPr>
          <w:sz w:val="22"/>
        </w:rPr>
        <w:t>Vulnerability Assessments</w:t>
      </w:r>
    </w:p>
    <w:p>
      <w:pPr>
        <w:pStyle w:val="ListNumber"/>
        <w:spacing w:after="40"/>
        <w:ind w:left="283"/>
      </w:pPr>
      <w:r>
        <w:rPr>
          <w:sz w:val="22"/>
        </w:rPr>
        <w:t>Transient Cyber Assets and Removable Media</w:t>
      </w:r>
    </w:p>
    <w:p>
      <w:pPr>
        <w:pStyle w:val="ListNumber"/>
        <w:spacing w:after="40"/>
        <w:ind w:left="283"/>
      </w:pPr>
      <w:r>
        <w:rPr>
          <w:sz w:val="22"/>
        </w:rPr>
        <w:t>BES Cyber System Information Protection</w:t>
      </w:r>
    </w:p>
    <w:p>
      <w:pPr>
        <w:pStyle w:val="ListNumber"/>
        <w:spacing w:after="40"/>
        <w:ind w:left="283"/>
      </w:pPr>
      <w:r>
        <w:rPr>
          <w:sz w:val="22"/>
        </w:rPr>
        <w:t>Evidence Retention</w:t>
      </w:r>
    </w:p>
    <w:p>
      <w:pPr>
        <w:pStyle w:val="ListNumber"/>
        <w:spacing w:after="40"/>
        <w:ind w:left="283"/>
      </w:pPr>
      <w:r>
        <w:rPr>
          <w:sz w:val="22"/>
        </w:rPr>
        <w:t>Document Control</w:t>
      </w:r>
    </w:p>
    <w:p>
      <w:pPr>
        <w:pBdr>
          <w:bottom w:val="single" w:sz="4" w:space="1" w:color="AAAAAA"/>
        </w:pBdr>
      </w:pPr>
    </w:p>
    <w:p>
      <w:pPr>
        <w:pStyle w:val="Heading2"/>
      </w:pPr>
      <w:r>
        <w:rPr>
          <w:sz w:val="22"/>
        </w:rPr>
        <w:t>1. Purpose and Scope</w:t>
      </w:r>
    </w:p>
    <w:p>
      <w:pPr>
        <w:pStyle w:val="Heading3"/>
      </w:pPr>
      <w:r>
        <w:rPr>
          <w:sz w:val="22"/>
        </w:rPr>
        <w:t>1.1 Purpose</w:t>
      </w:r>
    </w:p>
    <w:p>
      <w:pPr>
        <w:spacing w:after="120"/>
      </w:pPr>
      <w:r>
        <w:rPr>
          <w:sz w:val="22"/>
        </w:rPr>
        <w:t>This Configuration Management Plan (CMP) establishes the processes and controls governing configuration management for BES Cyber Systems operated by [Organization Name]. It defines how configuration baselines are established, how changes are authorized and documented, and how unauthorized modifications are detected.</w:t>
      </w:r>
    </w:p>
    <w:tbl>
      <w:tblPr>
        <w:tblStyle w:val="TableGrid"/>
        <w:tblW w:type="auto" w:w="0"/>
        <w:tblLook w:firstColumn="1" w:firstRow="1" w:lastColumn="0" w:lastRow="0" w:noHBand="0" w:noVBand="1" w:val="04A0"/>
      </w:tblPr>
      <w:tblGrid>
        <w:gridCol w:w="9360"/>
      </w:tblGrid>
      <w:tr>
        <w:tc>
          <w:tcPr>
            <w:tcW w:type="dxa" w:w="9360"/>
            <w:shd w:val="clear" w:color="auto" w:fill="EBF3FB"/>
            <w:tcBorders>
              <w:top w:val="single" w:sz="4" w:color="2E75B6"/>
              <w:bottom w:val="single" w:sz="4" w:color="2E75B6"/>
              <w:left w:val="single" w:sz="18" w:color="2E75B6"/>
              <w:right w:val="single" w:sz="4" w:color="2E75B6"/>
            </w:tcBorders>
          </w:tcPr>
          <w:p>
            <w:pPr>
              <w:spacing w:before="80" w:after="80"/>
              <w:ind w:left="170"/>
            </w:pPr>
            <w:r>
              <w:rPr>
                <w:b/>
                <w:color w:val="1F497D"/>
                <w:sz w:val="20"/>
              </w:rPr>
              <w:t>NERC CIP — CIP-010 R1</w:t>
            </w:r>
            <w:r>
              <w:rPr>
                <w:sz w:val="20"/>
              </w:rPr>
              <w:t xml:space="preserve">: </w:t>
            </w:r>
            <w:r>
              <w:rPr>
                <w:i/>
                <w:sz w:val="20"/>
              </w:rPr>
              <w:t>"Each Responsible Entity shall implement, in a manner that identifies, assesses, and corrects deficiencies, one or more documented process(es) that collectively include each of the applicable requirement parts."</w:t>
            </w:r>
            <w:r>
              <w:rPr>
                <w:sz w:val="20"/>
              </w:rPr>
              <w:t xml:space="preserve"> This CMP is the primary documented process satisfying CIP-010 R1.</w:t>
            </w:r>
          </w:p>
        </w:tc>
      </w:tr>
    </w:tbl>
    <w:p/>
    <w:p>
      <w:pPr>
        <w:pStyle w:val="Heading3"/>
      </w:pPr>
      <w:r>
        <w:rPr>
          <w:sz w:val="22"/>
        </w:rPr>
        <w:t>1.2 Scope</w:t>
      </w:r>
    </w:p>
    <w:p>
      <w:pPr>
        <w:spacing w:after="120"/>
      </w:pPr>
      <w:r>
        <w:rPr>
          <w:sz w:val="22"/>
        </w:rPr>
        <w:t>This CMP applies to all BES Cyber Systems and their associated components as identified and categorized under CIP-002. Specifically:</w:t>
      </w:r>
    </w:p>
    <w:p>
      <w:pPr>
        <w:spacing w:after="120"/>
      </w:pPr>
      <w:r>
        <w:rPr>
          <w:b/>
          <w:sz w:val="22"/>
        </w:rPr>
        <w:t>In-Scope Systems:</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2340"/>
            <w:vAlign w:val="center"/>
            <w:shd w:val="clear" w:color="auto" w:fill="2E75B6"/>
          </w:tcPr>
          <w:p>
            <w:pPr>
              <w:spacing w:before="40" w:after="40"/>
            </w:pPr>
            <w:r>
              <w:rPr>
                <w:b/>
                <w:color w:val="FFFFFF"/>
                <w:sz w:val="20"/>
              </w:rPr>
              <w:t>System Name</w:t>
            </w:r>
          </w:p>
        </w:tc>
        <w:tc>
          <w:tcPr>
            <w:tcW w:type="dxa" w:w="2340"/>
            <w:vAlign w:val="center"/>
            <w:shd w:val="clear" w:color="auto" w:fill="2E75B6"/>
          </w:tcPr>
          <w:p>
            <w:pPr>
              <w:spacing w:before="40" w:after="40"/>
            </w:pPr>
            <w:r>
              <w:rPr>
                <w:b/>
                <w:color w:val="FFFFFF"/>
                <w:sz w:val="20"/>
              </w:rPr>
              <w:t>Impact Level</w:t>
            </w:r>
          </w:p>
        </w:tc>
        <w:tc>
          <w:tcPr>
            <w:tcW w:type="dxa" w:w="2340"/>
            <w:vAlign w:val="center"/>
            <w:shd w:val="clear" w:color="auto" w:fill="2E75B6"/>
          </w:tcPr>
          <w:p>
            <w:pPr>
              <w:spacing w:before="40" w:after="40"/>
            </w:pPr>
            <w:r>
              <w:rPr>
                <w:b/>
                <w:color w:val="FFFFFF"/>
                <w:sz w:val="20"/>
              </w:rPr>
              <w:t>Location / ESP</w:t>
            </w:r>
          </w:p>
        </w:tc>
        <w:tc>
          <w:tcPr>
            <w:tcW w:type="dxa" w:w="2340"/>
            <w:vAlign w:val="center"/>
            <w:shd w:val="clear" w:color="auto" w:fill="2E75B6"/>
          </w:tcPr>
          <w:p>
            <w:pPr>
              <w:spacing w:before="40" w:after="40"/>
            </w:pPr>
            <w:r>
              <w:rPr>
                <w:b/>
                <w:color w:val="FFFFFF"/>
                <w:sz w:val="20"/>
              </w:rPr>
              <w:t>Asset Owner</w:t>
            </w:r>
          </w:p>
        </w:tc>
      </w:tr>
      <w:tr>
        <w:tc>
          <w:tcPr>
            <w:tcW w:type="dxa" w:w="2340"/>
            <w:vAlign w:val="center"/>
          </w:tcPr>
          <w:p>
            <w:pPr>
              <w:spacing w:before="40" w:after="40"/>
            </w:pPr>
            <w:r>
              <w:rPr>
                <w:sz w:val="20"/>
              </w:rPr>
              <w:t>[System Name]</w:t>
            </w:r>
          </w:p>
        </w:tc>
        <w:tc>
          <w:tcPr>
            <w:tcW w:type="dxa" w:w="2340"/>
            <w:vAlign w:val="center"/>
          </w:tcPr>
          <w:p>
            <w:pPr>
              <w:spacing w:before="40" w:after="40"/>
            </w:pPr>
            <w:r>
              <w:rPr>
                <w:sz w:val="20"/>
              </w:rPr>
              <w:t>High / Medium / Low</w:t>
            </w:r>
          </w:p>
        </w:tc>
        <w:tc>
          <w:tcPr>
            <w:tcW w:type="dxa" w:w="2340"/>
            <w:vAlign w:val="center"/>
          </w:tcPr>
          <w:p>
            <w:pPr>
              <w:spacing w:before="40" w:after="40"/>
            </w:pPr>
            <w:r>
              <w:rPr>
                <w:sz w:val="20"/>
              </w:rPr>
              <w:t>[ESP Name]</w:t>
            </w:r>
          </w:p>
        </w:tc>
        <w:tc>
          <w:tcPr>
            <w:tcW w:type="dxa" w:w="2340"/>
            <w:vAlign w:val="center"/>
          </w:tcPr>
          <w:p>
            <w:pPr>
              <w:spacing w:before="40" w:after="40"/>
            </w:pPr>
            <w:r>
              <w:rPr>
                <w:sz w:val="20"/>
              </w:rPr>
              <w:t>[Owner]</w:t>
            </w:r>
          </w:p>
        </w:tc>
      </w:tr>
      <w:tr>
        <w:tc>
          <w:tcPr>
            <w:tcW w:type="dxa" w:w="2340"/>
            <w:vAlign w:val="center"/>
            <w:shd w:val="clear" w:color="auto" w:fill="F2F7FB"/>
          </w:tcPr>
          <w:p>
            <w:pPr>
              <w:spacing w:before="40" w:after="40"/>
            </w:pPr>
            <w:r>
              <w:rPr>
                <w:sz w:val="20"/>
              </w:rPr>
              <w:t>[System Name]</w:t>
            </w:r>
          </w:p>
        </w:tc>
        <w:tc>
          <w:tcPr>
            <w:tcW w:type="dxa" w:w="2340"/>
            <w:vAlign w:val="center"/>
            <w:shd w:val="clear" w:color="auto" w:fill="F2F7FB"/>
          </w:tcPr>
          <w:p>
            <w:pPr>
              <w:spacing w:before="40" w:after="40"/>
            </w:pPr>
            <w:r>
              <w:rPr>
                <w:sz w:val="20"/>
              </w:rPr>
              <w:t>High / Medium / Low</w:t>
            </w:r>
          </w:p>
        </w:tc>
        <w:tc>
          <w:tcPr>
            <w:tcW w:type="dxa" w:w="2340"/>
            <w:vAlign w:val="center"/>
            <w:shd w:val="clear" w:color="auto" w:fill="F2F7FB"/>
          </w:tcPr>
          <w:p>
            <w:pPr>
              <w:spacing w:before="40" w:after="40"/>
            </w:pPr>
            <w:r>
              <w:rPr>
                <w:sz w:val="20"/>
              </w:rPr>
              <w:t>[ESP Name]</w:t>
            </w:r>
          </w:p>
        </w:tc>
        <w:tc>
          <w:tcPr>
            <w:tcW w:type="dxa" w:w="2340"/>
            <w:vAlign w:val="center"/>
            <w:shd w:val="clear" w:color="auto" w:fill="F2F7FB"/>
          </w:tcPr>
          <w:p>
            <w:pPr>
              <w:spacing w:before="40" w:after="40"/>
            </w:pPr>
            <w:r>
              <w:rPr>
                <w:sz w:val="20"/>
              </w:rPr>
              <w:t>[Owner]</w:t>
            </w:r>
          </w:p>
        </w:tc>
      </w:tr>
    </w:tbl>
    <w:p/>
    <w:p>
      <w:pPr>
        <w:spacing w:after="120"/>
      </w:pPr>
      <w:r>
        <w:rPr>
          <w:b/>
          <w:sz w:val="22"/>
        </w:rPr>
        <w:t>In-Scope Asset Categories:</w:t>
      </w:r>
    </w:p>
    <w:p>
      <w:pPr>
        <w:pStyle w:val="ListBullet"/>
        <w:spacing w:after="40"/>
        <w:ind w:left="283"/>
      </w:pPr>
      <w:r>
        <w:rPr>
          <w:sz w:val="22"/>
        </w:rPr>
        <w:t>BES Cyber Assets (BCA) — High and Medium impact</w:t>
      </w:r>
    </w:p>
    <w:p>
      <w:pPr>
        <w:pStyle w:val="ListBullet"/>
        <w:spacing w:after="40"/>
        <w:ind w:left="283"/>
      </w:pPr>
      <w:r>
        <w:rPr>
          <w:sz w:val="22"/>
        </w:rPr>
        <w:t>Electronic Access Control or Monitoring Systems (EACMS)</w:t>
      </w:r>
    </w:p>
    <w:p>
      <w:pPr>
        <w:pStyle w:val="ListBullet"/>
        <w:spacing w:after="40"/>
        <w:ind w:left="283"/>
      </w:pPr>
      <w:r>
        <w:rPr>
          <w:sz w:val="22"/>
        </w:rPr>
        <w:t>Physical Access Control Systems (PACS)</w:t>
      </w:r>
    </w:p>
    <w:p>
      <w:pPr>
        <w:pStyle w:val="ListBullet"/>
        <w:spacing w:after="40"/>
        <w:ind w:left="283"/>
      </w:pPr>
      <w:r>
        <w:rPr>
          <w:sz w:val="22"/>
        </w:rPr>
        <w:t>Protected Cyber Assets (PCA)</w:t>
      </w:r>
    </w:p>
    <w:tbl>
      <w:tblPr>
        <w:tblStyle w:val="TableGrid"/>
        <w:tblW w:type="auto" w:w="0"/>
        <w:tblLook w:firstColumn="1" w:firstRow="1" w:lastColumn="0" w:lastRow="0" w:noHBand="0" w:noVBand="1" w:val="04A0"/>
      </w:tblPr>
      <w:tblGrid>
        <w:gridCol w:w="9360"/>
      </w:tblGrid>
      <w:tr>
        <w:tc>
          <w:tcPr>
            <w:tcW w:type="dxa" w:w="9360"/>
            <w:shd w:val="clear" w:color="auto" w:fill="EBF3FB"/>
            <w:tcBorders>
              <w:top w:val="single" w:sz="4" w:color="2E75B6"/>
              <w:bottom w:val="single" w:sz="4" w:color="2E75B6"/>
              <w:left w:val="single" w:sz="18" w:color="2E75B6"/>
              <w:right w:val="single" w:sz="4" w:color="2E75B6"/>
            </w:tcBorders>
          </w:tcPr>
          <w:p>
            <w:pPr>
              <w:spacing w:before="80" w:after="80"/>
              <w:ind w:left="170"/>
            </w:pPr>
            <w:r>
              <w:rPr>
                <w:b/>
                <w:color w:val="1F497D"/>
                <w:sz w:val="20"/>
              </w:rPr>
              <w:t>NERC CIP — CIP-002</w:t>
            </w:r>
            <w:r>
              <w:rPr>
                <w:sz w:val="20"/>
              </w:rPr>
              <w:t xml:space="preserve">: The asset inventory above must be reviewed and updated at least every </w:t>
            </w:r>
            <w:r>
              <w:rPr>
                <w:b/>
                <w:sz w:val="20"/>
              </w:rPr>
              <w:t>15 months</w:t>
            </w:r>
            <w:r>
              <w:rPr>
                <w:sz w:val="20"/>
              </w:rPr>
              <w:t>. This CMP is scoped to match the current CIP-002 inventory. Any addition of new BES Cyber Systems triggers a scope update to this document.</w:t>
            </w:r>
          </w:p>
        </w:tc>
      </w:tr>
    </w:tbl>
    <w:p/>
    <w:p>
      <w:pPr>
        <w:spacing w:after="120"/>
      </w:pPr>
      <w:r>
        <w:rPr>
          <w:b/>
          <w:sz w:val="22"/>
        </w:rPr>
        <w:t>Out-of-Scope:</w:t>
      </w:r>
      <w:r>
        <w:rPr>
          <w:sz w:val="22"/>
        </w:rPr>
        <w:t xml:space="preserve"> Low impact BES Cyber Systems are excluded from CIP-010 R1–R3 requirements unless the organization elects to apply them.</w:t>
      </w:r>
    </w:p>
    <w:p>
      <w:pPr>
        <w:pBdr>
          <w:bottom w:val="single" w:sz="4" w:space="1" w:color="AAAAAA"/>
        </w:pBdr>
      </w:pPr>
    </w:p>
    <w:p>
      <w:pPr>
        <w:pStyle w:val="Heading2"/>
      </w:pPr>
      <w:r>
        <w:rPr>
          <w:sz w:val="22"/>
        </w:rPr>
        <w:t>2. Roles and Responsibilities</w:t>
      </w:r>
    </w:p>
    <w:tbl>
      <w:tblPr>
        <w:tblStyle w:val="TableGrid"/>
        <w:tblW w:type="auto" w:w="0"/>
        <w:tblLook w:firstColumn="1" w:firstRow="1" w:lastColumn="0" w:lastRow="0" w:noHBand="0" w:noVBand="1" w:val="04A0"/>
      </w:tblPr>
      <w:tblGrid>
        <w:gridCol w:w="9360"/>
      </w:tblGrid>
      <w:tr>
        <w:tc>
          <w:tcPr>
            <w:tcW w:type="dxa" w:w="9360"/>
            <w:shd w:val="clear" w:color="auto" w:fill="EBF3FB"/>
            <w:tcBorders>
              <w:top w:val="single" w:sz="4" w:color="2E75B6"/>
              <w:bottom w:val="single" w:sz="4" w:color="2E75B6"/>
              <w:left w:val="single" w:sz="18" w:color="2E75B6"/>
              <w:right w:val="single" w:sz="4" w:color="2E75B6"/>
            </w:tcBorders>
          </w:tcPr>
          <w:p>
            <w:pPr>
              <w:spacing w:before="80" w:after="80"/>
              <w:ind w:left="170"/>
            </w:pPr>
            <w:r>
              <w:rPr>
                <w:b/>
                <w:color w:val="1F497D"/>
                <w:sz w:val="20"/>
              </w:rPr>
              <w:t>NERC CIP — CIP-010 R1.2</w:t>
            </w:r>
            <w:r>
              <w:rPr>
                <w:sz w:val="20"/>
              </w:rPr>
              <w:t>: The authorization process must identify who is authorized to approve changes that deviate from the established baseline. This section establishes those roles.</w:t>
            </w:r>
          </w:p>
        </w:tc>
      </w:tr>
    </w:tbl>
    <w:p/>
    <w:tbl>
      <w:tblPr>
        <w:tblStyle w:val="TableGrid"/>
        <w:tblW w:type="auto" w:w="0"/>
        <w:jc w:val="left"/>
        <w:tblLook w:firstColumn="1" w:firstRow="1" w:lastColumn="0" w:lastRow="0" w:noHBand="0" w:noVBand="1" w:val="04A0"/>
      </w:tblPr>
      <w:tblGrid>
        <w:gridCol w:w="3120"/>
        <w:gridCol w:w="3120"/>
        <w:gridCol w:w="3120"/>
      </w:tblGrid>
      <w:tr>
        <w:tc>
          <w:tcPr>
            <w:tcW w:type="dxa" w:w="3120"/>
            <w:vAlign w:val="center"/>
            <w:shd w:val="clear" w:color="auto" w:fill="2E75B6"/>
          </w:tcPr>
          <w:p>
            <w:pPr>
              <w:spacing w:before="40" w:after="40"/>
            </w:pPr>
            <w:r>
              <w:rPr>
                <w:b/>
                <w:color w:val="FFFFFF"/>
                <w:sz w:val="20"/>
              </w:rPr>
              <w:t>Role</w:t>
            </w:r>
          </w:p>
        </w:tc>
        <w:tc>
          <w:tcPr>
            <w:tcW w:type="dxa" w:w="3120"/>
            <w:vAlign w:val="center"/>
            <w:shd w:val="clear" w:color="auto" w:fill="2E75B6"/>
          </w:tcPr>
          <w:p>
            <w:pPr>
              <w:spacing w:before="40" w:after="40"/>
            </w:pPr>
            <w:r>
              <w:rPr>
                <w:b/>
                <w:color w:val="FFFFFF"/>
                <w:sz w:val="20"/>
              </w:rPr>
              <w:t>Responsibilities</w:t>
            </w:r>
          </w:p>
        </w:tc>
        <w:tc>
          <w:tcPr>
            <w:tcW w:type="dxa" w:w="3120"/>
            <w:vAlign w:val="center"/>
            <w:shd w:val="clear" w:color="auto" w:fill="2E75B6"/>
          </w:tcPr>
          <w:p>
            <w:pPr>
              <w:spacing w:before="40" w:after="40"/>
            </w:pPr>
            <w:r>
              <w:rPr>
                <w:b/>
                <w:color w:val="FFFFFF"/>
                <w:sz w:val="20"/>
              </w:rPr>
              <w:t>Name / Title</w:t>
            </w:r>
          </w:p>
        </w:tc>
      </w:tr>
      <w:tr>
        <w:tc>
          <w:tcPr>
            <w:tcW w:type="dxa" w:w="3120"/>
            <w:vAlign w:val="center"/>
          </w:tcPr>
          <w:p>
            <w:pPr>
              <w:spacing w:before="40" w:after="40"/>
            </w:pPr>
            <w:r>
              <w:rPr>
                <w:b/>
                <w:sz w:val="20"/>
              </w:rPr>
              <w:t>CIP Compliance Manager</w:t>
            </w:r>
          </w:p>
        </w:tc>
        <w:tc>
          <w:tcPr>
            <w:tcW w:type="dxa" w:w="3120"/>
            <w:vAlign w:val="center"/>
          </w:tcPr>
          <w:p>
            <w:pPr>
              <w:spacing w:before="40" w:after="40"/>
            </w:pPr>
            <w:r>
              <w:rPr>
                <w:sz w:val="20"/>
              </w:rPr>
              <w:t>Owns this document; ensures processes are current and followed; coordinates with auditors</w:t>
            </w:r>
          </w:p>
        </w:tc>
        <w:tc>
          <w:tcPr>
            <w:tcW w:type="dxa" w:w="3120"/>
            <w:vAlign w:val="center"/>
          </w:tcPr>
          <w:p>
            <w:pPr>
              <w:spacing w:before="40" w:after="40"/>
            </w:pPr>
            <w:r>
              <w:rPr>
                <w:sz w:val="20"/>
              </w:rPr>
              <w:t>[Name]</w:t>
            </w:r>
          </w:p>
        </w:tc>
      </w:tr>
      <w:tr>
        <w:tc>
          <w:tcPr>
            <w:tcW w:type="dxa" w:w="3120"/>
            <w:vAlign w:val="center"/>
            <w:shd w:val="clear" w:color="auto" w:fill="F2F7FB"/>
          </w:tcPr>
          <w:p>
            <w:pPr>
              <w:spacing w:before="40" w:after="40"/>
            </w:pPr>
            <w:r>
              <w:rPr>
                <w:b/>
                <w:sz w:val="20"/>
              </w:rPr>
              <w:t>OT Engineering Lead</w:t>
            </w:r>
          </w:p>
        </w:tc>
        <w:tc>
          <w:tcPr>
            <w:tcW w:type="dxa" w:w="3120"/>
            <w:vAlign w:val="center"/>
            <w:shd w:val="clear" w:color="auto" w:fill="F2F7FB"/>
          </w:tcPr>
          <w:p>
            <w:pPr>
              <w:spacing w:before="40" w:after="40"/>
            </w:pPr>
            <w:r>
              <w:rPr>
                <w:sz w:val="20"/>
              </w:rPr>
              <w:t>Maintains baseline configuration records for OT assets; reviews and approves OT change requests</w:t>
            </w:r>
          </w:p>
        </w:tc>
        <w:tc>
          <w:tcPr>
            <w:tcW w:type="dxa" w:w="3120"/>
            <w:vAlign w:val="center"/>
            <w:shd w:val="clear" w:color="auto" w:fill="F2F7FB"/>
          </w:tcPr>
          <w:p>
            <w:pPr>
              <w:spacing w:before="40" w:after="40"/>
            </w:pPr>
            <w:r>
              <w:rPr>
                <w:sz w:val="20"/>
              </w:rPr>
              <w:t>[Name]</w:t>
            </w:r>
          </w:p>
        </w:tc>
      </w:tr>
      <w:tr>
        <w:tc>
          <w:tcPr>
            <w:tcW w:type="dxa" w:w="3120"/>
            <w:vAlign w:val="center"/>
          </w:tcPr>
          <w:p>
            <w:pPr>
              <w:spacing w:before="40" w:after="40"/>
            </w:pPr>
            <w:r>
              <w:rPr>
                <w:b/>
                <w:sz w:val="20"/>
              </w:rPr>
              <w:t>IT/Cybersecurity Manager</w:t>
            </w:r>
          </w:p>
        </w:tc>
        <w:tc>
          <w:tcPr>
            <w:tcW w:type="dxa" w:w="3120"/>
            <w:vAlign w:val="center"/>
          </w:tcPr>
          <w:p>
            <w:pPr>
              <w:spacing w:before="40" w:after="40"/>
            </w:pPr>
            <w:r>
              <w:rPr>
                <w:sz w:val="20"/>
              </w:rPr>
              <w:t>Assesses CIP-005/CIP-007 control impacts; reviews security patch changes</w:t>
            </w:r>
          </w:p>
        </w:tc>
        <w:tc>
          <w:tcPr>
            <w:tcW w:type="dxa" w:w="3120"/>
            <w:vAlign w:val="center"/>
          </w:tcPr>
          <w:p>
            <w:pPr>
              <w:spacing w:before="40" w:after="40"/>
            </w:pPr>
            <w:r>
              <w:rPr>
                <w:sz w:val="20"/>
              </w:rPr>
              <w:t>[Name]</w:t>
            </w:r>
          </w:p>
        </w:tc>
      </w:tr>
      <w:tr>
        <w:tc>
          <w:tcPr>
            <w:tcW w:type="dxa" w:w="3120"/>
            <w:vAlign w:val="center"/>
            <w:shd w:val="clear" w:color="auto" w:fill="F2F7FB"/>
          </w:tcPr>
          <w:p>
            <w:pPr>
              <w:spacing w:before="40" w:after="40"/>
            </w:pPr>
            <w:r>
              <w:rPr>
                <w:b/>
                <w:sz w:val="20"/>
              </w:rPr>
              <w:t>Configuration Control Board (CCB) Chair</w:t>
            </w:r>
          </w:p>
        </w:tc>
        <w:tc>
          <w:tcPr>
            <w:tcW w:type="dxa" w:w="3120"/>
            <w:vAlign w:val="center"/>
            <w:shd w:val="clear" w:color="auto" w:fill="F2F7FB"/>
          </w:tcPr>
          <w:p>
            <w:pPr>
              <w:spacing w:before="40" w:after="40"/>
            </w:pPr>
            <w:r>
              <w:rPr>
                <w:sz w:val="20"/>
              </w:rPr>
              <w:t>Chairs CCB meetings; holds final approval authority for High-risk changes</w:t>
            </w:r>
          </w:p>
        </w:tc>
        <w:tc>
          <w:tcPr>
            <w:tcW w:type="dxa" w:w="3120"/>
            <w:vAlign w:val="center"/>
            <w:shd w:val="clear" w:color="auto" w:fill="F2F7FB"/>
          </w:tcPr>
          <w:p>
            <w:pPr>
              <w:spacing w:before="40" w:after="40"/>
            </w:pPr>
            <w:r>
              <w:rPr>
                <w:sz w:val="20"/>
              </w:rPr>
              <w:t>[Name]</w:t>
            </w:r>
          </w:p>
        </w:tc>
      </w:tr>
      <w:tr>
        <w:tc>
          <w:tcPr>
            <w:tcW w:type="dxa" w:w="3120"/>
            <w:vAlign w:val="center"/>
          </w:tcPr>
          <w:p>
            <w:pPr>
              <w:spacing w:before="40" w:after="40"/>
            </w:pPr>
            <w:r>
              <w:rPr>
                <w:b/>
                <w:sz w:val="20"/>
              </w:rPr>
              <w:t>System Owners</w:t>
            </w:r>
          </w:p>
        </w:tc>
        <w:tc>
          <w:tcPr>
            <w:tcW w:type="dxa" w:w="3120"/>
            <w:vAlign w:val="center"/>
          </w:tcPr>
          <w:p>
            <w:pPr>
              <w:spacing w:before="40" w:after="40"/>
            </w:pPr>
            <w:r>
              <w:rPr>
                <w:sz w:val="20"/>
              </w:rPr>
              <w:t>Responsible for maintaining accurate CI baseline records in CMDB; submit change requests</w:t>
            </w:r>
          </w:p>
        </w:tc>
        <w:tc>
          <w:tcPr>
            <w:tcW w:type="dxa" w:w="3120"/>
            <w:vAlign w:val="center"/>
          </w:tcPr>
          <w:p>
            <w:pPr>
              <w:spacing w:before="40" w:after="40"/>
            </w:pPr>
            <w:r>
              <w:rPr>
                <w:sz w:val="20"/>
              </w:rPr>
              <w:t>[Names]</w:t>
            </w:r>
          </w:p>
        </w:tc>
      </w:tr>
      <w:tr>
        <w:tc>
          <w:tcPr>
            <w:tcW w:type="dxa" w:w="3120"/>
            <w:vAlign w:val="center"/>
            <w:shd w:val="clear" w:color="auto" w:fill="F2F7FB"/>
          </w:tcPr>
          <w:p>
            <w:pPr>
              <w:spacing w:before="40" w:after="40"/>
            </w:pPr>
            <w:r>
              <w:rPr>
                <w:b/>
                <w:sz w:val="20"/>
              </w:rPr>
              <w:t>Change Implementer</w:t>
            </w:r>
          </w:p>
        </w:tc>
        <w:tc>
          <w:tcPr>
            <w:tcW w:type="dxa" w:w="3120"/>
            <w:vAlign w:val="center"/>
            <w:shd w:val="clear" w:color="auto" w:fill="F2F7FB"/>
          </w:tcPr>
          <w:p>
            <w:pPr>
              <w:spacing w:before="40" w:after="40"/>
            </w:pPr>
            <w:r>
              <w:rPr>
                <w:sz w:val="20"/>
              </w:rPr>
              <w:t>Executes authorized changes; documents implementation evidence</w:t>
            </w:r>
          </w:p>
        </w:tc>
        <w:tc>
          <w:tcPr>
            <w:tcW w:type="dxa" w:w="3120"/>
            <w:vAlign w:val="center"/>
            <w:shd w:val="clear" w:color="auto" w:fill="F2F7FB"/>
          </w:tcPr>
          <w:p>
            <w:pPr>
              <w:spacing w:before="40" w:after="40"/>
            </w:pPr>
            <w:r>
              <w:rPr>
                <w:sz w:val="20"/>
              </w:rPr>
              <w:t>[Assigned per change]</w:t>
            </w:r>
          </w:p>
        </w:tc>
      </w:tr>
      <w:tr>
        <w:tc>
          <w:tcPr>
            <w:tcW w:type="dxa" w:w="3120"/>
            <w:vAlign w:val="center"/>
          </w:tcPr>
          <w:p>
            <w:pPr>
              <w:spacing w:before="40" w:after="40"/>
            </w:pPr>
            <w:r>
              <w:rPr>
                <w:b/>
                <w:sz w:val="20"/>
              </w:rPr>
              <w:t>Compliance Evidence Custodian</w:t>
            </w:r>
          </w:p>
        </w:tc>
        <w:tc>
          <w:tcPr>
            <w:tcW w:type="dxa" w:w="3120"/>
            <w:vAlign w:val="center"/>
          </w:tcPr>
          <w:p>
            <w:pPr>
              <w:spacing w:before="40" w:after="40"/>
            </w:pPr>
            <w:r>
              <w:rPr>
                <w:sz w:val="20"/>
              </w:rPr>
              <w:t>Retains and organizes CIP-010 evidence; coordinates evidence production for audits</w:t>
            </w:r>
          </w:p>
        </w:tc>
        <w:tc>
          <w:tcPr>
            <w:tcW w:type="dxa" w:w="3120"/>
            <w:vAlign w:val="center"/>
          </w:tcPr>
          <w:p>
            <w:pPr>
              <w:spacing w:before="40" w:after="40"/>
            </w:pPr>
            <w:r>
              <w:rPr>
                <w:sz w:val="20"/>
              </w:rPr>
              <w:t>[Name]</w:t>
            </w:r>
          </w:p>
        </w:tc>
      </w:tr>
    </w:tbl>
    <w:p/>
    <w:p>
      <w:pPr>
        <w:pBdr>
          <w:bottom w:val="single" w:sz="4" w:space="1" w:color="AAAAAA"/>
        </w:pBdr>
      </w:pPr>
    </w:p>
    <w:p>
      <w:pPr>
        <w:pStyle w:val="Heading2"/>
      </w:pPr>
      <w:r>
        <w:rPr>
          <w:sz w:val="22"/>
        </w:rPr>
        <w:t>3. Baseline Configuration</w:t>
      </w:r>
    </w:p>
    <w:tbl>
      <w:tblPr>
        <w:tblStyle w:val="TableGrid"/>
        <w:tblW w:type="auto" w:w="0"/>
        <w:tblLook w:firstColumn="1" w:firstRow="1" w:lastColumn="0" w:lastRow="0" w:noHBand="0" w:noVBand="1" w:val="04A0"/>
      </w:tblPr>
      <w:tblGrid>
        <w:gridCol w:w="9360"/>
      </w:tblGrid>
      <w:tr>
        <w:tc>
          <w:tcPr>
            <w:tcW w:type="dxa" w:w="9360"/>
            <w:shd w:val="clear" w:color="auto" w:fill="EBF3FB"/>
            <w:tcBorders>
              <w:top w:val="single" w:sz="4" w:color="2E75B6"/>
              <w:bottom w:val="single" w:sz="4" w:color="2E75B6"/>
              <w:left w:val="single" w:sz="18" w:color="2E75B6"/>
              <w:right w:val="single" w:sz="4" w:color="2E75B6"/>
            </w:tcBorders>
          </w:tcPr>
          <w:p>
            <w:pPr>
              <w:spacing w:before="80" w:after="80"/>
              <w:ind w:left="170"/>
            </w:pPr>
            <w:r>
              <w:rPr>
                <w:b/>
                <w:color w:val="1F497D"/>
                <w:sz w:val="20"/>
              </w:rPr>
              <w:t>NERC CIP — CIP-010 R1.1</w:t>
            </w:r>
            <w:r>
              <w:rPr>
                <w:sz w:val="20"/>
              </w:rPr>
              <w:t xml:space="preserve">: </w:t>
            </w:r>
            <w:r>
              <w:rPr>
                <w:i/>
                <w:sz w:val="20"/>
              </w:rPr>
              <w:t>"Develop a baseline configuration, individually or by grouping, which shall include the following applicable items: (1) Operating system(s) including version; (2) Any commercially available or open-source application software installed; (3) Any custom software installed; (4) Any logical network accessible port; (5) Any security patches applied."</w:t>
            </w:r>
          </w:p>
        </w:tc>
      </w:tr>
    </w:tbl>
    <w:p/>
    <w:p>
      <w:pPr>
        <w:pStyle w:val="Heading3"/>
      </w:pPr>
      <w:r>
        <w:rPr>
          <w:sz w:val="22"/>
        </w:rPr>
        <w:t>3.1 Baseline Components</w:t>
      </w:r>
    </w:p>
    <w:p>
      <w:pPr>
        <w:spacing w:after="120"/>
      </w:pPr>
      <w:r>
        <w:rPr>
          <w:sz w:val="22"/>
        </w:rPr>
        <w:t>A baseline configuration must be maintained for each in-scope BES Cyber System and must include all of the following:</w:t>
      </w:r>
    </w:p>
    <w:tbl>
      <w:tblPr>
        <w:tblStyle w:val="TableGrid"/>
        <w:tblW w:type="auto" w:w="0"/>
        <w:jc w:val="left"/>
        <w:tblLook w:firstColumn="1" w:firstRow="1" w:lastColumn="0" w:lastRow="0" w:noHBand="0" w:noVBand="1" w:val="04A0"/>
      </w:tblPr>
      <w:tblGrid>
        <w:gridCol w:w="3120"/>
        <w:gridCol w:w="3120"/>
        <w:gridCol w:w="3120"/>
      </w:tblGrid>
      <w:tr>
        <w:tc>
          <w:tcPr>
            <w:tcW w:type="dxa" w:w="3120"/>
            <w:vAlign w:val="center"/>
            <w:shd w:val="clear" w:color="auto" w:fill="2E75B6"/>
          </w:tcPr>
          <w:p>
            <w:pPr>
              <w:spacing w:before="40" w:after="40"/>
            </w:pPr>
            <w:r>
              <w:rPr>
                <w:b/>
                <w:color w:val="FFFFFF"/>
                <w:sz w:val="20"/>
              </w:rPr>
              <w:t>Component</w:t>
            </w:r>
          </w:p>
        </w:tc>
        <w:tc>
          <w:tcPr>
            <w:tcW w:type="dxa" w:w="3120"/>
            <w:vAlign w:val="center"/>
            <w:shd w:val="clear" w:color="auto" w:fill="2E75B6"/>
          </w:tcPr>
          <w:p>
            <w:pPr>
              <w:spacing w:before="40" w:after="40"/>
            </w:pPr>
            <w:r>
              <w:rPr>
                <w:b/>
                <w:color w:val="FFFFFF"/>
                <w:sz w:val="20"/>
              </w:rPr>
              <w:t>Description</w:t>
            </w:r>
          </w:p>
        </w:tc>
        <w:tc>
          <w:tcPr>
            <w:tcW w:type="dxa" w:w="3120"/>
            <w:vAlign w:val="center"/>
            <w:shd w:val="clear" w:color="auto" w:fill="2E75B6"/>
          </w:tcPr>
          <w:p>
            <w:pPr>
              <w:spacing w:before="40" w:after="40"/>
            </w:pPr>
            <w:r>
              <w:rPr>
                <w:b/>
                <w:color w:val="FFFFFF"/>
                <w:sz w:val="20"/>
              </w:rPr>
              <w:t>Where Recorded</w:t>
            </w:r>
          </w:p>
        </w:tc>
      </w:tr>
      <w:tr>
        <w:tc>
          <w:tcPr>
            <w:tcW w:type="dxa" w:w="3120"/>
            <w:vAlign w:val="center"/>
          </w:tcPr>
          <w:p>
            <w:pPr>
              <w:spacing w:before="40" w:after="40"/>
            </w:pPr>
            <w:r>
              <w:rPr>
                <w:b/>
                <w:sz w:val="20"/>
              </w:rPr>
              <w:t>Operating System / Firmware</w:t>
            </w:r>
          </w:p>
        </w:tc>
        <w:tc>
          <w:tcPr>
            <w:tcW w:type="dxa" w:w="3120"/>
            <w:vAlign w:val="center"/>
          </w:tcPr>
          <w:p>
            <w:pPr>
              <w:spacing w:before="40" w:after="40"/>
            </w:pPr>
            <w:r>
              <w:rPr>
                <w:sz w:val="20"/>
              </w:rPr>
              <w:t>Name and version (or firmware version if no OS applies, e.g., protective relays)</w:t>
            </w:r>
          </w:p>
        </w:tc>
        <w:tc>
          <w:tcPr>
            <w:tcW w:type="dxa" w:w="3120"/>
            <w:vAlign w:val="center"/>
          </w:tcPr>
          <w:p>
            <w:pPr>
              <w:spacing w:before="40" w:after="40"/>
            </w:pPr>
            <w:r>
              <w:rPr>
                <w:sz w:val="20"/>
              </w:rPr>
              <w:t>CMDB CI attribute</w:t>
            </w:r>
          </w:p>
        </w:tc>
      </w:tr>
      <w:tr>
        <w:tc>
          <w:tcPr>
            <w:tcW w:type="dxa" w:w="3120"/>
            <w:vAlign w:val="center"/>
            <w:shd w:val="clear" w:color="auto" w:fill="F2F7FB"/>
          </w:tcPr>
          <w:p>
            <w:pPr>
              <w:spacing w:before="40" w:after="40"/>
            </w:pPr>
            <w:r>
              <w:rPr>
                <w:b/>
                <w:sz w:val="20"/>
              </w:rPr>
              <w:t>Commercial / Open-Source Software</w:t>
            </w:r>
          </w:p>
        </w:tc>
        <w:tc>
          <w:tcPr>
            <w:tcW w:type="dxa" w:w="3120"/>
            <w:vAlign w:val="center"/>
            <w:shd w:val="clear" w:color="auto" w:fill="F2F7FB"/>
          </w:tcPr>
          <w:p>
            <w:pPr>
              <w:spacing w:before="40" w:after="40"/>
            </w:pPr>
            <w:r>
              <w:rPr>
                <w:sz w:val="20"/>
              </w:rPr>
              <w:t>Name and version of all installed applications</w:t>
            </w:r>
          </w:p>
        </w:tc>
        <w:tc>
          <w:tcPr>
            <w:tcW w:type="dxa" w:w="3120"/>
            <w:vAlign w:val="center"/>
            <w:shd w:val="clear" w:color="auto" w:fill="F2F7FB"/>
          </w:tcPr>
          <w:p>
            <w:pPr>
              <w:spacing w:before="40" w:after="40"/>
            </w:pPr>
            <w:r>
              <w:rPr>
                <w:sz w:val="20"/>
              </w:rPr>
              <w:t>CMDB CI attribute</w:t>
            </w:r>
          </w:p>
        </w:tc>
      </w:tr>
      <w:tr>
        <w:tc>
          <w:tcPr>
            <w:tcW w:type="dxa" w:w="3120"/>
            <w:vAlign w:val="center"/>
          </w:tcPr>
          <w:p>
            <w:pPr>
              <w:spacing w:before="40" w:after="40"/>
            </w:pPr>
            <w:r>
              <w:rPr>
                <w:b/>
                <w:sz w:val="20"/>
              </w:rPr>
              <w:t>Custom Software</w:t>
            </w:r>
          </w:p>
        </w:tc>
        <w:tc>
          <w:tcPr>
            <w:tcW w:type="dxa" w:w="3120"/>
            <w:vAlign w:val="center"/>
          </w:tcPr>
          <w:p>
            <w:pPr>
              <w:spacing w:before="40" w:after="40"/>
            </w:pPr>
            <w:r>
              <w:rPr>
                <w:sz w:val="20"/>
              </w:rPr>
              <w:t>Name, version, and purpose of any internally developed software</w:t>
            </w:r>
          </w:p>
        </w:tc>
        <w:tc>
          <w:tcPr>
            <w:tcW w:type="dxa" w:w="3120"/>
            <w:vAlign w:val="center"/>
          </w:tcPr>
          <w:p>
            <w:pPr>
              <w:spacing w:before="40" w:after="40"/>
            </w:pPr>
            <w:r>
              <w:rPr>
                <w:sz w:val="20"/>
              </w:rPr>
              <w:t>CMDB CI attribute</w:t>
            </w:r>
          </w:p>
        </w:tc>
      </w:tr>
      <w:tr>
        <w:tc>
          <w:tcPr>
            <w:tcW w:type="dxa" w:w="3120"/>
            <w:vAlign w:val="center"/>
            <w:shd w:val="clear" w:color="auto" w:fill="F2F7FB"/>
          </w:tcPr>
          <w:p>
            <w:pPr>
              <w:spacing w:before="40" w:after="40"/>
            </w:pPr>
            <w:r>
              <w:rPr>
                <w:b/>
                <w:sz w:val="20"/>
              </w:rPr>
              <w:t>Logical Network Accessible Ports</w:t>
            </w:r>
          </w:p>
        </w:tc>
        <w:tc>
          <w:tcPr>
            <w:tcW w:type="dxa" w:w="3120"/>
            <w:vAlign w:val="center"/>
            <w:shd w:val="clear" w:color="auto" w:fill="F2F7FB"/>
          </w:tcPr>
          <w:p>
            <w:pPr>
              <w:spacing w:before="40" w:after="40"/>
            </w:pPr>
            <w:r>
              <w:rPr>
                <w:sz w:val="20"/>
              </w:rPr>
              <w:t>Port number, protocol (TCP/UDP), and business justification for each enabled port</w:t>
            </w:r>
          </w:p>
        </w:tc>
        <w:tc>
          <w:tcPr>
            <w:tcW w:type="dxa" w:w="3120"/>
            <w:vAlign w:val="center"/>
            <w:shd w:val="clear" w:color="auto" w:fill="F2F7FB"/>
          </w:tcPr>
          <w:p>
            <w:pPr>
              <w:spacing w:before="40" w:after="40"/>
            </w:pPr>
            <w:r>
              <w:rPr>
                <w:sz w:val="20"/>
              </w:rPr>
              <w:t>CMDB CI attribute</w:t>
            </w:r>
          </w:p>
        </w:tc>
      </w:tr>
      <w:tr>
        <w:tc>
          <w:tcPr>
            <w:tcW w:type="dxa" w:w="3120"/>
            <w:vAlign w:val="center"/>
          </w:tcPr>
          <w:p>
            <w:pPr>
              <w:spacing w:before="40" w:after="40"/>
            </w:pPr>
            <w:r>
              <w:rPr>
                <w:b/>
                <w:sz w:val="20"/>
              </w:rPr>
              <w:t>Security Patches Applied</w:t>
            </w:r>
          </w:p>
        </w:tc>
        <w:tc>
          <w:tcPr>
            <w:tcW w:type="dxa" w:w="3120"/>
            <w:vAlign w:val="center"/>
          </w:tcPr>
          <w:p>
            <w:pPr>
              <w:spacing w:before="40" w:after="40"/>
            </w:pPr>
            <w:r>
              <w:rPr>
                <w:sz w:val="20"/>
              </w:rPr>
              <w:t>Patch identifier, application date, and source</w:t>
            </w:r>
          </w:p>
        </w:tc>
        <w:tc>
          <w:tcPr>
            <w:tcW w:type="dxa" w:w="3120"/>
            <w:vAlign w:val="center"/>
          </w:tcPr>
          <w:p>
            <w:pPr>
              <w:spacing w:before="40" w:after="40"/>
            </w:pPr>
            <w:r>
              <w:rPr>
                <w:sz w:val="20"/>
              </w:rPr>
              <w:t>CMDB CI attribute</w:t>
            </w:r>
          </w:p>
        </w:tc>
      </w:tr>
    </w:tbl>
    <w:p/>
    <w:p>
      <w:pPr>
        <w:pStyle w:val="Heading3"/>
      </w:pPr>
      <w:r>
        <w:rPr>
          <w:sz w:val="22"/>
        </w:rPr>
        <w:t>3.2 Baseline Establishment</w:t>
      </w:r>
    </w:p>
    <w:p>
      <w:pPr>
        <w:pStyle w:val="ListNumber"/>
        <w:spacing w:after="40"/>
        <w:ind w:left="283"/>
      </w:pPr>
      <w:r>
        <w:rPr>
          <w:sz w:val="22"/>
        </w:rPr>
        <w:t>An initial baseline is established at the time of commissioning or at this CMP's effective date, whichever comes first.</w:t>
      </w:r>
    </w:p>
    <w:p>
      <w:pPr>
        <w:pStyle w:val="ListNumber"/>
        <w:spacing w:after="40"/>
        <w:ind w:left="283"/>
      </w:pPr>
      <w:r>
        <w:rPr>
          <w:sz w:val="22"/>
        </w:rPr>
        <w:t>Baselines are recorded in the CMDB as CI attributes on the relevant Configuration Item.</w:t>
      </w:r>
    </w:p>
    <w:p>
      <w:pPr>
        <w:pStyle w:val="ListNumber"/>
        <w:spacing w:after="40"/>
        <w:ind w:left="283"/>
      </w:pPr>
      <w:r>
        <w:rPr>
          <w:sz w:val="22"/>
        </w:rPr>
        <w:t>The CCB reviews and formally approves the initial baseline before the system enters production.</w:t>
      </w:r>
    </w:p>
    <w:p>
      <w:pPr>
        <w:pStyle w:val="ListNumber"/>
        <w:spacing w:after="40"/>
        <w:ind w:left="283"/>
      </w:pPr>
      <w:r>
        <w:rPr>
          <w:sz w:val="22"/>
        </w:rPr>
        <w:t>Each baseline record includes the date established and the name of the approving authority.</w:t>
      </w:r>
    </w:p>
    <w:p>
      <w:pPr>
        <w:pStyle w:val="Heading3"/>
      </w:pPr>
      <w:r>
        <w:rPr>
          <w:sz w:val="22"/>
        </w:rPr>
        <w:t>3.3 System of Record</w:t>
      </w:r>
    </w:p>
    <w:p>
      <w:pPr>
        <w:spacing w:after="120"/>
      </w:pPr>
      <w:r>
        <w:rPr>
          <w:sz w:val="22"/>
        </w:rPr>
        <w:t xml:space="preserve">The ServiceNow CMDB is the authoritative system of record for all baseline configurations. CMDB CI records for in-scope BES Cyber Assets must include all five baseline component types listed in Section 3.1. Baselines stored outside the CMDB (e.g., in engineering documentation) must be synchronized with the CMDB within </w:t>
      </w:r>
      <w:r>
        <w:rPr>
          <w:b/>
          <w:sz w:val="22"/>
        </w:rPr>
        <w:t>5 business days</w:t>
      </w:r>
      <w:r>
        <w:rPr>
          <w:sz w:val="22"/>
        </w:rPr>
        <w:t xml:space="preserve"> of any change.</w:t>
      </w:r>
    </w:p>
    <w:p>
      <w:pPr>
        <w:pBdr>
          <w:bottom w:val="single" w:sz="4" w:space="1" w:color="AAAAAA"/>
        </w:pBdr>
      </w:pPr>
    </w:p>
    <w:p>
      <w:pPr>
        <w:pStyle w:val="Heading2"/>
      </w:pPr>
      <w:r>
        <w:rPr>
          <w:sz w:val="22"/>
        </w:rPr>
        <w:t>4. Change Authorization Process</w:t>
      </w:r>
    </w:p>
    <w:tbl>
      <w:tblPr>
        <w:tblStyle w:val="TableGrid"/>
        <w:tblW w:type="auto" w:w="0"/>
        <w:tblLook w:firstColumn="1" w:firstRow="1" w:lastColumn="0" w:lastRow="0" w:noHBand="0" w:noVBand="1" w:val="04A0"/>
      </w:tblPr>
      <w:tblGrid>
        <w:gridCol w:w="9360"/>
      </w:tblGrid>
      <w:tr>
        <w:tc>
          <w:tcPr>
            <w:tcW w:type="dxa" w:w="9360"/>
            <w:shd w:val="clear" w:color="auto" w:fill="EBF3FB"/>
            <w:tcBorders>
              <w:top w:val="single" w:sz="4" w:color="2E75B6"/>
              <w:bottom w:val="single" w:sz="4" w:color="2E75B6"/>
              <w:left w:val="single" w:sz="18" w:color="2E75B6"/>
              <w:right w:val="single" w:sz="4" w:color="2E75B6"/>
            </w:tcBorders>
          </w:tcPr>
          <w:p>
            <w:pPr>
              <w:spacing w:before="80" w:after="80"/>
              <w:ind w:left="170"/>
            </w:pPr>
            <w:r>
              <w:rPr>
                <w:b/>
                <w:color w:val="1F497D"/>
                <w:sz w:val="20"/>
              </w:rPr>
              <w:t>NERC CIP — CIP-010 R1.2</w:t>
            </w:r>
            <w:r>
              <w:rPr>
                <w:sz w:val="20"/>
              </w:rPr>
              <w:t xml:space="preserve">: </w:t>
            </w:r>
            <w:r>
              <w:rPr>
                <w:i/>
                <w:sz w:val="20"/>
              </w:rPr>
              <w:t>"Authorize and document changes that deviate from the existing baseline configuration."</w:t>
            </w:r>
            <w:r>
              <w:rPr>
                <w:sz w:val="20"/>
              </w:rPr>
              <w:t xml:space="preserve"> No change to a BES Cyber System baseline may be implemented without prior written authorization from the CCB (or designated authority per risk category).</w:t>
            </w:r>
          </w:p>
        </w:tc>
      </w:tr>
    </w:tbl>
    <w:p/>
    <w:p>
      <w:pPr>
        <w:pStyle w:val="Heading3"/>
      </w:pPr>
      <w:r>
        <w:rPr>
          <w:sz w:val="22"/>
        </w:rPr>
        <w:t>4.1 Change Risk Categories</w:t>
      </w:r>
    </w:p>
    <w:tbl>
      <w:tblPr>
        <w:tblStyle w:val="TableGrid"/>
        <w:tblW w:type="auto" w:w="0"/>
        <w:jc w:val="left"/>
        <w:tblLook w:firstColumn="1" w:firstRow="1" w:lastColumn="0" w:lastRow="0" w:noHBand="0" w:noVBand="1" w:val="04A0"/>
      </w:tblPr>
      <w:tblGrid>
        <w:gridCol w:w="3120"/>
        <w:gridCol w:w="3120"/>
        <w:gridCol w:w="3120"/>
      </w:tblGrid>
      <w:tr>
        <w:tc>
          <w:tcPr>
            <w:tcW w:type="dxa" w:w="3120"/>
            <w:vAlign w:val="center"/>
            <w:shd w:val="clear" w:color="auto" w:fill="2E75B6"/>
          </w:tcPr>
          <w:p>
            <w:pPr>
              <w:spacing w:before="40" w:after="40"/>
            </w:pPr>
            <w:r>
              <w:rPr>
                <w:b/>
                <w:color w:val="FFFFFF"/>
                <w:sz w:val="20"/>
              </w:rPr>
              <w:t>Category</w:t>
            </w:r>
          </w:p>
        </w:tc>
        <w:tc>
          <w:tcPr>
            <w:tcW w:type="dxa" w:w="3120"/>
            <w:vAlign w:val="center"/>
            <w:shd w:val="clear" w:color="auto" w:fill="2E75B6"/>
          </w:tcPr>
          <w:p>
            <w:pPr>
              <w:spacing w:before="40" w:after="40"/>
            </w:pPr>
            <w:r>
              <w:rPr>
                <w:b/>
                <w:color w:val="FFFFFF"/>
                <w:sz w:val="20"/>
              </w:rPr>
              <w:t>Definition</w:t>
            </w:r>
          </w:p>
        </w:tc>
        <w:tc>
          <w:tcPr>
            <w:tcW w:type="dxa" w:w="3120"/>
            <w:vAlign w:val="center"/>
            <w:shd w:val="clear" w:color="auto" w:fill="2E75B6"/>
          </w:tcPr>
          <w:p>
            <w:pPr>
              <w:spacing w:before="40" w:after="40"/>
            </w:pPr>
            <w:r>
              <w:rPr>
                <w:b/>
                <w:color w:val="FFFFFF"/>
                <w:sz w:val="20"/>
              </w:rPr>
              <w:t>Authorization Required</w:t>
            </w:r>
          </w:p>
        </w:tc>
      </w:tr>
      <w:tr>
        <w:tc>
          <w:tcPr>
            <w:tcW w:type="dxa" w:w="3120"/>
            <w:vAlign w:val="center"/>
          </w:tcPr>
          <w:p>
            <w:pPr>
              <w:spacing w:before="40" w:after="40"/>
            </w:pPr>
            <w:r>
              <w:rPr>
                <w:b/>
                <w:sz w:val="20"/>
              </w:rPr>
              <w:t>High-Risk</w:t>
            </w:r>
          </w:p>
        </w:tc>
        <w:tc>
          <w:tcPr>
            <w:tcW w:type="dxa" w:w="3120"/>
            <w:vAlign w:val="center"/>
          </w:tcPr>
          <w:p>
            <w:pPr>
              <w:spacing w:before="40" w:after="40"/>
            </w:pPr>
            <w:r>
              <w:rPr>
                <w:sz w:val="20"/>
              </w:rPr>
              <w:t>Affects ESP boundary; OS upgrade; major software version change; new logical port; architectural change</w:t>
            </w:r>
          </w:p>
        </w:tc>
        <w:tc>
          <w:tcPr>
            <w:tcW w:type="dxa" w:w="3120"/>
            <w:vAlign w:val="center"/>
          </w:tcPr>
          <w:p>
            <w:pPr>
              <w:spacing w:before="40" w:after="40"/>
            </w:pPr>
            <w:r>
              <w:rPr>
                <w:sz w:val="20"/>
              </w:rPr>
              <w:t>Full CCB review and vote</w:t>
            </w:r>
          </w:p>
        </w:tc>
      </w:tr>
      <w:tr>
        <w:tc>
          <w:tcPr>
            <w:tcW w:type="dxa" w:w="3120"/>
            <w:vAlign w:val="center"/>
            <w:shd w:val="clear" w:color="auto" w:fill="F2F7FB"/>
          </w:tcPr>
          <w:p>
            <w:pPr>
              <w:spacing w:before="40" w:after="40"/>
            </w:pPr>
            <w:r>
              <w:rPr>
                <w:b/>
                <w:sz w:val="20"/>
              </w:rPr>
              <w:t>Medium-Risk</w:t>
            </w:r>
          </w:p>
        </w:tc>
        <w:tc>
          <w:tcPr>
            <w:tcW w:type="dxa" w:w="3120"/>
            <w:vAlign w:val="center"/>
            <w:shd w:val="clear" w:color="auto" w:fill="F2F7FB"/>
          </w:tcPr>
          <w:p>
            <w:pPr>
              <w:spacing w:before="40" w:after="40"/>
            </w:pPr>
            <w:r>
              <w:rPr>
                <w:sz w:val="20"/>
              </w:rPr>
              <w:t>Security patch application; minor software update; configuration parameter change within existing ESP</w:t>
            </w:r>
          </w:p>
        </w:tc>
        <w:tc>
          <w:tcPr>
            <w:tcW w:type="dxa" w:w="3120"/>
            <w:vAlign w:val="center"/>
            <w:shd w:val="clear" w:color="auto" w:fill="F2F7FB"/>
          </w:tcPr>
          <w:p>
            <w:pPr>
              <w:spacing w:before="40" w:after="40"/>
            </w:pPr>
            <w:r>
              <w:rPr>
                <w:sz w:val="20"/>
              </w:rPr>
              <w:t>Abbreviated CCB review (2+ members)</w:t>
            </w:r>
          </w:p>
        </w:tc>
      </w:tr>
      <w:tr>
        <w:tc>
          <w:tcPr>
            <w:tcW w:type="dxa" w:w="3120"/>
            <w:vAlign w:val="center"/>
          </w:tcPr>
          <w:p>
            <w:pPr>
              <w:spacing w:before="40" w:after="40"/>
            </w:pPr>
            <w:r>
              <w:rPr>
                <w:b/>
                <w:sz w:val="20"/>
              </w:rPr>
              <w:t>Low-Risk / Pre-Approved</w:t>
            </w:r>
          </w:p>
        </w:tc>
        <w:tc>
          <w:tcPr>
            <w:tcW w:type="dxa" w:w="3120"/>
            <w:vAlign w:val="center"/>
          </w:tcPr>
          <w:p>
            <w:pPr>
              <w:spacing w:before="40" w:after="40"/>
            </w:pPr>
            <w:r>
              <w:rPr>
                <w:sz w:val="20"/>
              </w:rPr>
              <w:t>Change type previously approved by CCB as a standing authorization (must be documented)</w:t>
            </w:r>
          </w:p>
        </w:tc>
        <w:tc>
          <w:tcPr>
            <w:tcW w:type="dxa" w:w="3120"/>
            <w:vAlign w:val="center"/>
          </w:tcPr>
          <w:p>
            <w:pPr>
              <w:spacing w:before="40" w:after="40"/>
            </w:pPr>
            <w:r>
              <w:rPr>
                <w:sz w:val="20"/>
              </w:rPr>
              <w:t>Change implementer self-authorizes; CCB notification within 3 business days</w:t>
            </w:r>
          </w:p>
        </w:tc>
      </w:tr>
      <w:tr>
        <w:tc>
          <w:tcPr>
            <w:tcW w:type="dxa" w:w="3120"/>
            <w:vAlign w:val="center"/>
            <w:shd w:val="clear" w:color="auto" w:fill="F2F7FB"/>
          </w:tcPr>
          <w:p>
            <w:pPr>
              <w:spacing w:before="40" w:after="40"/>
            </w:pPr>
            <w:r>
              <w:rPr>
                <w:b/>
                <w:sz w:val="20"/>
              </w:rPr>
              <w:t>Emergency</w:t>
            </w:r>
          </w:p>
        </w:tc>
        <w:tc>
          <w:tcPr>
            <w:tcW w:type="dxa" w:w="3120"/>
            <w:vAlign w:val="center"/>
            <w:shd w:val="clear" w:color="auto" w:fill="F2F7FB"/>
          </w:tcPr>
          <w:p>
            <w:pPr>
              <w:spacing w:before="40" w:after="40"/>
            </w:pPr>
            <w:r>
              <w:rPr>
                <w:sz w:val="20"/>
              </w:rPr>
              <w:t>Immediate threat to BES reliability or security requires change outside normal cycle</w:t>
            </w:r>
          </w:p>
        </w:tc>
        <w:tc>
          <w:tcPr>
            <w:tcW w:type="dxa" w:w="3120"/>
            <w:vAlign w:val="center"/>
            <w:shd w:val="clear" w:color="auto" w:fill="F2F7FB"/>
          </w:tcPr>
          <w:p>
            <w:pPr>
              <w:spacing w:before="40" w:after="40"/>
            </w:pPr>
            <w:r>
              <w:rPr>
                <w:sz w:val="20"/>
              </w:rPr>
              <w:t xml:space="preserve">Verbal/email from CCB Chair or designee; full documentation within </w:t>
            </w:r>
            <w:r>
              <w:rPr>
                <w:b/>
                <w:sz w:val="20"/>
              </w:rPr>
              <w:t>7 calendar days</w:t>
            </w:r>
          </w:p>
        </w:tc>
      </w:tr>
    </w:tbl>
    <w:p/>
    <w:p>
      <w:pPr>
        <w:pStyle w:val="Heading3"/>
      </w:pPr>
      <w:r>
        <w:rPr>
          <w:sz w:val="22"/>
        </w:rPr>
        <w:t>4.2 Standard Change Request Process</w:t>
      </w:r>
    </w:p>
    <w:p>
      <w:pPr>
        <w:spacing w:before="80" w:after="80"/>
        <w:ind w:left="283"/>
      </w:pPr>
      <w:r>
        <w:rPr>
          <w:rFonts w:ascii="Courier New" w:hAnsi="Courier New"/>
          <w:color w:val="333333"/>
          <w:sz w:val="18"/>
        </w:rPr>
        <w:t>1. Requester submits Change Request (CR) in CMDB/ServiceNow Change Management</w:t>
        <w:br/>
        <w:t>2. System Owner reviews for completeness and accuracy</w:t>
        <w:br/>
        <w:t>3. CCB receives CR for review (see CCB Charter)</w:t>
        <w:br/>
        <w:t>4. CCB approves, rejects, or defers with documented rationale</w:t>
        <w:br/>
        <w:t>5. Approved CR is assigned an implementation window</w:t>
        <w:br/>
        <w:t>6. Change Implementer executes change per the approved implementation plan</w:t>
        <w:br/>
        <w:t>7. Post-change verification performed (see Section 7)</w:t>
        <w:br/>
        <w:t>8. CMDB baseline updated to reflect new authorized configuration</w:t>
        <w:br/>
        <w:t>9. CR closed with implementation evidence attached</w:t>
      </w:r>
    </w:p>
    <w:p>
      <w:pPr>
        <w:pStyle w:val="Heading3"/>
      </w:pPr>
      <w:r>
        <w:rPr>
          <w:sz w:val="22"/>
        </w:rPr>
        <w:t>4.3 Change Request Required Fields</w:t>
      </w:r>
    </w:p>
    <w:p>
      <w:pPr>
        <w:spacing w:after="120"/>
      </w:pPr>
      <w:r>
        <w:rPr>
          <w:sz w:val="22"/>
        </w:rPr>
        <w:t>Each CR submitted to the CCB must include:</w:t>
      </w:r>
    </w:p>
    <w:p>
      <w:pPr>
        <w:spacing w:after="40"/>
        <w:ind w:left="283"/>
      </w:pPr>
      <w:r>
        <w:rPr>
          <w:sz w:val="22"/>
        </w:rPr>
        <w:t xml:space="preserve">☐  </w:t>
      </w:r>
      <w:r>
        <w:rPr>
          <w:sz w:val="22"/>
        </w:rPr>
        <w:t>Description of the proposed change</w:t>
      </w:r>
    </w:p>
    <w:p>
      <w:pPr>
        <w:spacing w:after="40"/>
        <w:ind w:left="283"/>
      </w:pPr>
      <w:r>
        <w:rPr>
          <w:sz w:val="22"/>
        </w:rPr>
        <w:t xml:space="preserve">☐  </w:t>
      </w:r>
      <w:r>
        <w:rPr>
          <w:sz w:val="22"/>
        </w:rPr>
        <w:t>Affected BES Cyber Systems and CIs (CMDB record numbers)</w:t>
      </w:r>
    </w:p>
    <w:p>
      <w:pPr>
        <w:spacing w:after="40"/>
        <w:ind w:left="283"/>
      </w:pPr>
      <w:r>
        <w:rPr>
          <w:sz w:val="22"/>
        </w:rPr>
        <w:t xml:space="preserve">☐  </w:t>
      </w:r>
      <w:r>
        <w:rPr>
          <w:sz w:val="22"/>
        </w:rPr>
        <w:t>Business or security justification</w:t>
      </w:r>
    </w:p>
    <w:p>
      <w:pPr>
        <w:spacing w:after="40"/>
        <w:ind w:left="283"/>
      </w:pPr>
      <w:r>
        <w:rPr>
          <w:sz w:val="22"/>
        </w:rPr>
        <w:t xml:space="preserve">☐  </w:t>
      </w:r>
      <w:r>
        <w:rPr>
          <w:sz w:val="22"/>
        </w:rPr>
        <w:t>Risk category (High / Medium / Low / Emergency)</w:t>
      </w:r>
    </w:p>
    <w:p>
      <w:pPr>
        <w:spacing w:after="40"/>
        <w:ind w:left="283"/>
      </w:pPr>
      <w:r>
        <w:rPr>
          <w:sz w:val="22"/>
        </w:rPr>
        <w:t xml:space="preserve">☐  </w:t>
      </w:r>
      <w:r>
        <w:rPr>
          <w:sz w:val="22"/>
        </w:rPr>
        <w:t>Implementation plan (step-by-step)</w:t>
      </w:r>
    </w:p>
    <w:p>
      <w:pPr>
        <w:spacing w:after="40"/>
        <w:ind w:left="283"/>
      </w:pPr>
      <w:r>
        <w:rPr>
          <w:sz w:val="22"/>
        </w:rPr>
        <w:t xml:space="preserve">☐  </w:t>
      </w:r>
      <w:r>
        <w:rPr>
          <w:sz w:val="22"/>
        </w:rPr>
        <w:t>Rollback / contingency plan</w:t>
      </w:r>
    </w:p>
    <w:p>
      <w:pPr>
        <w:spacing w:after="40"/>
        <w:ind w:left="283"/>
      </w:pPr>
      <w:r>
        <w:rPr>
          <w:sz w:val="22"/>
        </w:rPr>
        <w:t xml:space="preserve">☐  </w:t>
      </w:r>
      <w:r>
        <w:rPr>
          <w:sz w:val="22"/>
        </w:rPr>
        <w:t>Proposed implementation window</w:t>
      </w:r>
    </w:p>
    <w:p>
      <w:pPr>
        <w:spacing w:after="40"/>
        <w:ind w:left="283"/>
      </w:pPr>
      <w:r>
        <w:rPr>
          <w:sz w:val="22"/>
        </w:rPr>
        <w:t xml:space="preserve">☐  </w:t>
      </w:r>
      <w:r>
        <w:rPr>
          <w:sz w:val="22"/>
        </w:rPr>
        <w:t>Pre-implementation verification steps</w:t>
      </w:r>
    </w:p>
    <w:p>
      <w:pPr>
        <w:spacing w:after="40"/>
        <w:ind w:left="283"/>
      </w:pPr>
      <w:r>
        <w:rPr>
          <w:sz w:val="22"/>
        </w:rPr>
        <w:t xml:space="preserve">☐  </w:t>
      </w:r>
      <w:r>
        <w:rPr>
          <w:sz w:val="22"/>
        </w:rPr>
        <w:t>Post-implementation verification steps</w:t>
      </w:r>
    </w:p>
    <w:p>
      <w:pPr>
        <w:spacing w:after="40"/>
        <w:ind w:left="283"/>
      </w:pPr>
      <w:r>
        <w:rPr>
          <w:sz w:val="22"/>
        </w:rPr>
        <w:t xml:space="preserve">☐  </w:t>
      </w:r>
      <w:r>
        <w:rPr>
          <w:sz w:val="22"/>
        </w:rPr>
        <w:t>CIP-005/CIP-007 control impact analysis (see Section 6)</w:t>
      </w:r>
    </w:p>
    <w:p>
      <w:pPr>
        <w:pStyle w:val="Heading3"/>
      </w:pPr>
      <w:r>
        <w:rPr>
          <w:sz w:val="22"/>
        </w:rPr>
        <w:t>4.4 Emergency Change Process</w:t>
      </w:r>
    </w:p>
    <w:tbl>
      <w:tblPr>
        <w:tblStyle w:val="TableGrid"/>
        <w:tblW w:type="auto" w:w="0"/>
        <w:tblLook w:firstColumn="1" w:firstRow="1" w:lastColumn="0" w:lastRow="0" w:noHBand="0" w:noVBand="1" w:val="04A0"/>
      </w:tblPr>
      <w:tblGrid>
        <w:gridCol w:w="9360"/>
      </w:tblGrid>
      <w:tr>
        <w:tc>
          <w:tcPr>
            <w:tcW w:type="dxa" w:w="9360"/>
            <w:shd w:val="clear" w:color="auto" w:fill="EBF3FB"/>
            <w:tcBorders>
              <w:top w:val="single" w:sz="4" w:color="2E75B6"/>
              <w:bottom w:val="single" w:sz="4" w:color="2E75B6"/>
              <w:left w:val="single" w:sz="18" w:color="2E75B6"/>
              <w:right w:val="single" w:sz="4" w:color="2E75B6"/>
            </w:tcBorders>
          </w:tcPr>
          <w:p>
            <w:pPr>
              <w:spacing w:before="80" w:after="80"/>
              <w:ind w:left="170"/>
            </w:pPr>
            <w:r>
              <w:rPr>
                <w:b/>
                <w:color w:val="1F497D"/>
                <w:sz w:val="20"/>
              </w:rPr>
              <w:t>NERC CIP — CIP-010 R1.5</w:t>
            </w:r>
            <w:r>
              <w:rPr>
                <w:sz w:val="20"/>
              </w:rPr>
              <w:t xml:space="preserve">: Emergency changes must still be documented. Verbal or email authorization is acceptable in an emergency, but the full change record must be completed within </w:t>
            </w:r>
            <w:r>
              <w:rPr>
                <w:b/>
                <w:sz w:val="20"/>
              </w:rPr>
              <w:t>7 calendar days</w:t>
            </w:r>
            <w:r>
              <w:rPr>
                <w:sz w:val="20"/>
              </w:rPr>
              <w:t xml:space="preserve"> of implementation.</w:t>
            </w:r>
          </w:p>
        </w:tc>
      </w:tr>
    </w:tbl>
    <w:p/>
    <w:p>
      <w:pPr>
        <w:pStyle w:val="ListNumber"/>
        <w:spacing w:after="40"/>
        <w:ind w:left="283"/>
      </w:pPr>
      <w:r>
        <w:rPr>
          <w:sz w:val="22"/>
        </w:rPr>
        <w:t>Change Implementer contacts CCB Chair (or designee) immediately.</w:t>
      </w:r>
    </w:p>
    <w:p>
      <w:pPr>
        <w:pStyle w:val="ListNumber"/>
        <w:spacing w:after="40"/>
        <w:ind w:left="283"/>
      </w:pPr>
      <w:r>
        <w:rPr>
          <w:sz w:val="22"/>
        </w:rPr>
        <w:t>Verbal or email authorization is obtained and recorded.</w:t>
      </w:r>
    </w:p>
    <w:p>
      <w:pPr>
        <w:pStyle w:val="ListNumber"/>
        <w:spacing w:after="40"/>
        <w:ind w:left="283"/>
      </w:pPr>
      <w:r>
        <w:rPr>
          <w:sz w:val="22"/>
        </w:rPr>
        <w:t>Change is implemented.</w:t>
      </w:r>
    </w:p>
    <w:p>
      <w:pPr>
        <w:pStyle w:val="ListNumber"/>
        <w:spacing w:after="40"/>
        <w:ind w:left="283"/>
      </w:pPr>
      <w:r>
        <w:rPr>
          <w:sz w:val="22"/>
        </w:rPr>
        <w:t>Full CR documentation is completed within 7 calendar days.</w:t>
      </w:r>
    </w:p>
    <w:p>
      <w:pPr>
        <w:pStyle w:val="ListNumber"/>
        <w:spacing w:after="40"/>
        <w:ind w:left="283"/>
      </w:pPr>
      <w:r>
        <w:rPr>
          <w:sz w:val="22"/>
        </w:rPr>
        <w:t>CCB reviews emergency change at the next scheduled meeting.</w:t>
      </w:r>
    </w:p>
    <w:p>
      <w:pPr>
        <w:pBdr>
          <w:bottom w:val="single" w:sz="4" w:space="1" w:color="AAAAAA"/>
        </w:pBdr>
      </w:pPr>
    </w:p>
    <w:p>
      <w:pPr>
        <w:pStyle w:val="Heading2"/>
      </w:pPr>
      <w:r>
        <w:rPr>
          <w:sz w:val="22"/>
        </w:rPr>
        <w:t>5. Change Documentation Standards</w:t>
      </w:r>
    </w:p>
    <w:tbl>
      <w:tblPr>
        <w:tblStyle w:val="TableGrid"/>
        <w:tblW w:type="auto" w:w="0"/>
        <w:tblLook w:firstColumn="1" w:firstRow="1" w:lastColumn="0" w:lastRow="0" w:noHBand="0" w:noVBand="1" w:val="04A0"/>
      </w:tblPr>
      <w:tblGrid>
        <w:gridCol w:w="9360"/>
      </w:tblGrid>
      <w:tr>
        <w:tc>
          <w:tcPr>
            <w:tcW w:type="dxa" w:w="9360"/>
            <w:shd w:val="clear" w:color="auto" w:fill="EBF3FB"/>
            <w:tcBorders>
              <w:top w:val="single" w:sz="4" w:color="2E75B6"/>
              <w:bottom w:val="single" w:sz="4" w:color="2E75B6"/>
              <w:left w:val="single" w:sz="18" w:color="2E75B6"/>
              <w:right w:val="single" w:sz="4" w:color="2E75B6"/>
            </w:tcBorders>
          </w:tcPr>
          <w:p>
            <w:pPr>
              <w:spacing w:before="80" w:after="80"/>
              <w:ind w:left="170"/>
            </w:pPr>
            <w:r>
              <w:rPr>
                <w:b/>
                <w:color w:val="1F497D"/>
                <w:sz w:val="20"/>
              </w:rPr>
              <w:t>NERC CIP — CIP-010 R1.3</w:t>
            </w:r>
            <w:r>
              <w:rPr>
                <w:sz w:val="20"/>
              </w:rPr>
              <w:t xml:space="preserve">: Entities must document changes including: the baseline components affected, the authorization, the implementation, and verification. Evidence must be retained for </w:t>
            </w:r>
            <w:r>
              <w:rPr>
                <w:b/>
                <w:sz w:val="20"/>
              </w:rPr>
              <w:t>3 calendar years</w:t>
            </w:r>
            <w:r>
              <w:rPr>
                <w:sz w:val="20"/>
              </w:rPr>
              <w:t>.</w:t>
            </w:r>
          </w:p>
        </w:tc>
      </w:tr>
    </w:tbl>
    <w:p/>
    <w:p>
      <w:pPr>
        <w:pStyle w:val="Heading3"/>
      </w:pPr>
      <w:r>
        <w:rPr>
          <w:sz w:val="22"/>
        </w:rPr>
        <w:t>5.1 Required Change Records</w:t>
      </w:r>
    </w:p>
    <w:p>
      <w:pPr>
        <w:spacing w:after="120"/>
      </w:pPr>
      <w:r>
        <w:rPr>
          <w:sz w:val="22"/>
        </w:rPr>
        <w:t>For every approved change to a BES Cyber System baseline, the following records must exist:</w:t>
      </w:r>
    </w:p>
    <w:tbl>
      <w:tblPr>
        <w:tblStyle w:val="TableGrid"/>
        <w:tblW w:type="auto" w:w="0"/>
        <w:jc w:val="left"/>
        <w:tblLook w:firstColumn="1" w:firstRow="1" w:lastColumn="0" w:lastRow="0" w:noHBand="0" w:noVBand="1" w:val="04A0"/>
      </w:tblPr>
      <w:tblGrid>
        <w:gridCol w:w="3120"/>
        <w:gridCol w:w="3120"/>
        <w:gridCol w:w="3120"/>
      </w:tblGrid>
      <w:tr>
        <w:tc>
          <w:tcPr>
            <w:tcW w:type="dxa" w:w="3120"/>
            <w:vAlign w:val="center"/>
            <w:shd w:val="clear" w:color="auto" w:fill="2E75B6"/>
          </w:tcPr>
          <w:p>
            <w:pPr>
              <w:spacing w:before="40" w:after="40"/>
            </w:pPr>
            <w:r>
              <w:rPr>
                <w:b/>
                <w:color w:val="FFFFFF"/>
                <w:sz w:val="20"/>
              </w:rPr>
              <w:t>Record</w:t>
            </w:r>
          </w:p>
        </w:tc>
        <w:tc>
          <w:tcPr>
            <w:tcW w:type="dxa" w:w="3120"/>
            <w:vAlign w:val="center"/>
            <w:shd w:val="clear" w:color="auto" w:fill="2E75B6"/>
          </w:tcPr>
          <w:p>
            <w:pPr>
              <w:spacing w:before="40" w:after="40"/>
            </w:pPr>
            <w:r>
              <w:rPr>
                <w:b/>
                <w:color w:val="FFFFFF"/>
                <w:sz w:val="20"/>
              </w:rPr>
              <w:t>Description</w:t>
            </w:r>
          </w:p>
        </w:tc>
        <w:tc>
          <w:tcPr>
            <w:tcW w:type="dxa" w:w="3120"/>
            <w:vAlign w:val="center"/>
            <w:shd w:val="clear" w:color="auto" w:fill="2E75B6"/>
          </w:tcPr>
          <w:p>
            <w:pPr>
              <w:spacing w:before="40" w:after="40"/>
            </w:pPr>
            <w:r>
              <w:rPr>
                <w:b/>
                <w:color w:val="FFFFFF"/>
                <w:sz w:val="20"/>
              </w:rPr>
              <w:t>Retained In</w:t>
            </w:r>
          </w:p>
        </w:tc>
      </w:tr>
      <w:tr>
        <w:tc>
          <w:tcPr>
            <w:tcW w:type="dxa" w:w="3120"/>
            <w:vAlign w:val="center"/>
          </w:tcPr>
          <w:p>
            <w:pPr>
              <w:spacing w:before="40" w:after="40"/>
            </w:pPr>
            <w:r>
              <w:rPr>
                <w:b/>
                <w:sz w:val="20"/>
              </w:rPr>
              <w:t>Change Request</w:t>
            </w:r>
          </w:p>
        </w:tc>
        <w:tc>
          <w:tcPr>
            <w:tcW w:type="dxa" w:w="3120"/>
            <w:vAlign w:val="center"/>
          </w:tcPr>
          <w:p>
            <w:pPr>
              <w:spacing w:before="40" w:after="40"/>
            </w:pPr>
            <w:r>
              <w:rPr>
                <w:sz w:val="20"/>
              </w:rPr>
              <w:t>Submitted CR with all required fields (Section 4.3)</w:t>
            </w:r>
          </w:p>
        </w:tc>
        <w:tc>
          <w:tcPr>
            <w:tcW w:type="dxa" w:w="3120"/>
            <w:vAlign w:val="center"/>
          </w:tcPr>
          <w:p>
            <w:pPr>
              <w:spacing w:before="40" w:after="40"/>
            </w:pPr>
            <w:r>
              <w:rPr>
                <w:sz w:val="20"/>
              </w:rPr>
              <w:t>ServiceNow Change Management</w:t>
            </w:r>
          </w:p>
        </w:tc>
      </w:tr>
      <w:tr>
        <w:tc>
          <w:tcPr>
            <w:tcW w:type="dxa" w:w="3120"/>
            <w:vAlign w:val="center"/>
            <w:shd w:val="clear" w:color="auto" w:fill="F2F7FB"/>
          </w:tcPr>
          <w:p>
            <w:pPr>
              <w:spacing w:before="40" w:after="40"/>
            </w:pPr>
            <w:r>
              <w:rPr>
                <w:b/>
                <w:sz w:val="20"/>
              </w:rPr>
              <w:t>CCB Approval</w:t>
            </w:r>
          </w:p>
        </w:tc>
        <w:tc>
          <w:tcPr>
            <w:tcW w:type="dxa" w:w="3120"/>
            <w:vAlign w:val="center"/>
            <w:shd w:val="clear" w:color="auto" w:fill="F2F7FB"/>
          </w:tcPr>
          <w:p>
            <w:pPr>
              <w:spacing w:before="40" w:after="40"/>
            </w:pPr>
            <w:r>
              <w:rPr>
                <w:sz w:val="20"/>
              </w:rPr>
              <w:t>Meeting minutes or email approval with approver identity</w:t>
            </w:r>
          </w:p>
        </w:tc>
        <w:tc>
          <w:tcPr>
            <w:tcW w:type="dxa" w:w="3120"/>
            <w:vAlign w:val="center"/>
            <w:shd w:val="clear" w:color="auto" w:fill="F2F7FB"/>
          </w:tcPr>
          <w:p>
            <w:pPr>
              <w:spacing w:before="40" w:after="40"/>
            </w:pPr>
            <w:r>
              <w:rPr>
                <w:sz w:val="20"/>
              </w:rPr>
              <w:t>ServiceNow / Document store</w:t>
            </w:r>
          </w:p>
        </w:tc>
      </w:tr>
      <w:tr>
        <w:tc>
          <w:tcPr>
            <w:tcW w:type="dxa" w:w="3120"/>
            <w:vAlign w:val="center"/>
          </w:tcPr>
          <w:p>
            <w:pPr>
              <w:spacing w:before="40" w:after="40"/>
            </w:pPr>
            <w:r>
              <w:rPr>
                <w:b/>
                <w:sz w:val="20"/>
              </w:rPr>
              <w:t>Implementation Evidence</w:t>
            </w:r>
          </w:p>
        </w:tc>
        <w:tc>
          <w:tcPr>
            <w:tcW w:type="dxa" w:w="3120"/>
            <w:vAlign w:val="center"/>
          </w:tcPr>
          <w:p>
            <w:pPr>
              <w:spacing w:before="40" w:after="40"/>
            </w:pPr>
            <w:r>
              <w:rPr>
                <w:sz w:val="20"/>
              </w:rPr>
              <w:t>Work log, system logs, or screenshots confirming the change was made as authorized</w:t>
            </w:r>
          </w:p>
        </w:tc>
        <w:tc>
          <w:tcPr>
            <w:tcW w:type="dxa" w:w="3120"/>
            <w:vAlign w:val="center"/>
          </w:tcPr>
          <w:p>
            <w:pPr>
              <w:spacing w:before="40" w:after="40"/>
            </w:pPr>
            <w:r>
              <w:rPr>
                <w:sz w:val="20"/>
              </w:rPr>
              <w:t>ServiceNow CR attachment</w:t>
            </w:r>
          </w:p>
        </w:tc>
      </w:tr>
      <w:tr>
        <w:tc>
          <w:tcPr>
            <w:tcW w:type="dxa" w:w="3120"/>
            <w:vAlign w:val="center"/>
            <w:shd w:val="clear" w:color="auto" w:fill="F2F7FB"/>
          </w:tcPr>
          <w:p>
            <w:pPr>
              <w:spacing w:before="40" w:after="40"/>
            </w:pPr>
            <w:r>
              <w:rPr>
                <w:b/>
                <w:sz w:val="20"/>
              </w:rPr>
              <w:t>Post-Change Verification Report</w:t>
            </w:r>
          </w:p>
        </w:tc>
        <w:tc>
          <w:tcPr>
            <w:tcW w:type="dxa" w:w="3120"/>
            <w:vAlign w:val="center"/>
            <w:shd w:val="clear" w:color="auto" w:fill="F2F7FB"/>
          </w:tcPr>
          <w:p>
            <w:pPr>
              <w:spacing w:before="40" w:after="40"/>
            </w:pPr>
            <w:r>
              <w:rPr>
                <w:sz w:val="20"/>
              </w:rPr>
              <w:t>Results of control verification (Section 7)</w:t>
            </w:r>
          </w:p>
        </w:tc>
        <w:tc>
          <w:tcPr>
            <w:tcW w:type="dxa" w:w="3120"/>
            <w:vAlign w:val="center"/>
            <w:shd w:val="clear" w:color="auto" w:fill="F2F7FB"/>
          </w:tcPr>
          <w:p>
            <w:pPr>
              <w:spacing w:before="40" w:after="40"/>
            </w:pPr>
            <w:r>
              <w:rPr>
                <w:sz w:val="20"/>
              </w:rPr>
              <w:t>ServiceNow CR attachment</w:t>
            </w:r>
          </w:p>
        </w:tc>
      </w:tr>
      <w:tr>
        <w:tc>
          <w:tcPr>
            <w:tcW w:type="dxa" w:w="3120"/>
            <w:vAlign w:val="center"/>
          </w:tcPr>
          <w:p>
            <w:pPr>
              <w:spacing w:before="40" w:after="40"/>
            </w:pPr>
            <w:r>
              <w:rPr>
                <w:b/>
                <w:sz w:val="20"/>
              </w:rPr>
              <w:t>Updated CMDB Record</w:t>
            </w:r>
          </w:p>
        </w:tc>
        <w:tc>
          <w:tcPr>
            <w:tcW w:type="dxa" w:w="3120"/>
            <w:vAlign w:val="center"/>
          </w:tcPr>
          <w:p>
            <w:pPr>
              <w:spacing w:before="40" w:after="40"/>
            </w:pPr>
            <w:r>
              <w:rPr>
                <w:sz w:val="20"/>
              </w:rPr>
              <w:t>Screenshot or export of CI record showing updated baseline attributes</w:t>
            </w:r>
          </w:p>
        </w:tc>
        <w:tc>
          <w:tcPr>
            <w:tcW w:type="dxa" w:w="3120"/>
            <w:vAlign w:val="center"/>
          </w:tcPr>
          <w:p>
            <w:pPr>
              <w:spacing w:before="40" w:after="40"/>
            </w:pPr>
            <w:r>
              <w:rPr>
                <w:sz w:val="20"/>
              </w:rPr>
              <w:t>ServiceNow / exported evidence</w:t>
            </w:r>
          </w:p>
        </w:tc>
      </w:tr>
    </w:tbl>
    <w:p/>
    <w:p>
      <w:pPr>
        <w:pStyle w:val="Heading3"/>
      </w:pPr>
      <w:r>
        <w:rPr>
          <w:sz w:val="22"/>
        </w:rPr>
        <w:t>5.2 Record Completeness Check</w:t>
      </w:r>
    </w:p>
    <w:p>
      <w:pPr>
        <w:spacing w:after="120"/>
      </w:pPr>
      <w:r>
        <w:rPr>
          <w:sz w:val="22"/>
        </w:rPr>
        <w:t xml:space="preserve">The Compliance Evidence Custodian performs a completeness check on all CRs within </w:t>
      </w:r>
      <w:r>
        <w:rPr>
          <w:b/>
          <w:sz w:val="22"/>
        </w:rPr>
        <w:t>5 business days</w:t>
      </w:r>
      <w:r>
        <w:rPr>
          <w:sz w:val="22"/>
        </w:rPr>
        <w:t xml:space="preserve"> of closure to confirm all required records are present and legible.</w:t>
      </w:r>
    </w:p>
    <w:p>
      <w:pPr>
        <w:pBdr>
          <w:bottom w:val="single" w:sz="4" w:space="1" w:color="AAAAAA"/>
        </w:pBdr>
      </w:pPr>
    </w:p>
    <w:p>
      <w:pPr>
        <w:pStyle w:val="Heading2"/>
      </w:pPr>
      <w:r>
        <w:rPr>
          <w:sz w:val="22"/>
        </w:rPr>
        <w:t>6. Control Impact Assessment</w:t>
      </w:r>
    </w:p>
    <w:tbl>
      <w:tblPr>
        <w:tblStyle w:val="TableGrid"/>
        <w:tblW w:type="auto" w:w="0"/>
        <w:tblLook w:firstColumn="1" w:firstRow="1" w:lastColumn="0" w:lastRow="0" w:noHBand="0" w:noVBand="1" w:val="04A0"/>
      </w:tblPr>
      <w:tblGrid>
        <w:gridCol w:w="9360"/>
      </w:tblGrid>
      <w:tr>
        <w:tc>
          <w:tcPr>
            <w:tcW w:type="dxa" w:w="9360"/>
            <w:shd w:val="clear" w:color="auto" w:fill="EBF3FB"/>
            <w:tcBorders>
              <w:top w:val="single" w:sz="4" w:color="2E75B6"/>
              <w:bottom w:val="single" w:sz="4" w:color="2E75B6"/>
              <w:left w:val="single" w:sz="18" w:color="2E75B6"/>
              <w:right w:val="single" w:sz="4" w:color="2E75B6"/>
            </w:tcBorders>
          </w:tcPr>
          <w:p>
            <w:pPr>
              <w:spacing w:before="80" w:after="80"/>
              <w:ind w:left="170"/>
            </w:pPr>
            <w:r>
              <w:rPr>
                <w:b/>
                <w:color w:val="1F497D"/>
                <w:sz w:val="20"/>
              </w:rPr>
              <w:t>NERC CIP — CIP-010 R1.4</w:t>
            </w:r>
            <w:r>
              <w:rPr>
                <w:sz w:val="20"/>
              </w:rPr>
              <w:t xml:space="preserve">: </w:t>
            </w:r>
            <w:r>
              <w:rPr>
                <w:i/>
                <w:sz w:val="20"/>
              </w:rPr>
              <w:t>"For a change that deviates from the existing baseline configuration, prior to the change, identify and verify the controls that could be impacted by the change."</w:t>
            </w:r>
            <w:r>
              <w:rPr>
                <w:sz w:val="20"/>
              </w:rPr>
              <w:t xml:space="preserve"> Only controls </w:t>
            </w:r>
            <w:r>
              <w:rPr>
                <w:b/>
                <w:sz w:val="20"/>
              </w:rPr>
              <w:t>actually relevant</w:t>
            </w:r>
            <w:r>
              <w:rPr>
                <w:sz w:val="20"/>
              </w:rPr>
              <w:t xml:space="preserve"> to the change type need to be assessed.</w:t>
            </w:r>
          </w:p>
        </w:tc>
      </w:tr>
    </w:tbl>
    <w:p/>
    <w:p>
      <w:pPr>
        <w:pStyle w:val="Heading3"/>
      </w:pPr>
      <w:r>
        <w:rPr>
          <w:sz w:val="22"/>
        </w:rPr>
        <w:t>6.1 Control Impact Matrix</w:t>
      </w:r>
    </w:p>
    <w:tbl>
      <w:tblPr>
        <w:tblStyle w:val="TableGrid"/>
        <w:tblW w:type="auto" w:w="0"/>
        <w:jc w:val="left"/>
        <w:tblLook w:firstColumn="1" w:firstRow="1" w:lastColumn="0" w:lastRow="0" w:noHBand="0" w:noVBand="1" w:val="04A0"/>
      </w:tblPr>
      <w:tblGrid>
        <w:gridCol w:w="3120"/>
        <w:gridCol w:w="3120"/>
        <w:gridCol w:w="3120"/>
      </w:tblGrid>
      <w:tr>
        <w:tc>
          <w:tcPr>
            <w:tcW w:type="dxa" w:w="3120"/>
            <w:vAlign w:val="center"/>
            <w:shd w:val="clear" w:color="auto" w:fill="2E75B6"/>
          </w:tcPr>
          <w:p>
            <w:pPr>
              <w:spacing w:before="40" w:after="40"/>
            </w:pPr>
            <w:r>
              <w:rPr>
                <w:b/>
                <w:color w:val="FFFFFF"/>
                <w:sz w:val="20"/>
              </w:rPr>
              <w:t>Change Type</w:t>
            </w:r>
          </w:p>
        </w:tc>
        <w:tc>
          <w:tcPr>
            <w:tcW w:type="dxa" w:w="3120"/>
            <w:vAlign w:val="center"/>
            <w:shd w:val="clear" w:color="auto" w:fill="2E75B6"/>
          </w:tcPr>
          <w:p>
            <w:pPr>
              <w:spacing w:before="40" w:after="40"/>
            </w:pPr>
            <w:r>
              <w:rPr>
                <w:b/>
                <w:color w:val="FFFFFF"/>
                <w:sz w:val="20"/>
              </w:rPr>
              <w:t>CIP-005 Controls to Verify</w:t>
            </w:r>
          </w:p>
        </w:tc>
        <w:tc>
          <w:tcPr>
            <w:tcW w:type="dxa" w:w="3120"/>
            <w:vAlign w:val="center"/>
            <w:shd w:val="clear" w:color="auto" w:fill="2E75B6"/>
          </w:tcPr>
          <w:p>
            <w:pPr>
              <w:spacing w:before="40" w:after="40"/>
            </w:pPr>
            <w:r>
              <w:rPr>
                <w:b/>
                <w:color w:val="FFFFFF"/>
                <w:sz w:val="20"/>
              </w:rPr>
              <w:t>CIP-007 Controls to Verify</w:t>
            </w:r>
          </w:p>
        </w:tc>
      </w:tr>
      <w:tr>
        <w:tc>
          <w:tcPr>
            <w:tcW w:type="dxa" w:w="3120"/>
            <w:vAlign w:val="center"/>
          </w:tcPr>
          <w:p>
            <w:pPr>
              <w:spacing w:before="40" w:after="40"/>
            </w:pPr>
            <w:r>
              <w:rPr>
                <w:sz w:val="20"/>
              </w:rPr>
              <w:t>New or changed logical port</w:t>
            </w:r>
          </w:p>
        </w:tc>
        <w:tc>
          <w:tcPr>
            <w:tcW w:type="dxa" w:w="3120"/>
            <w:vAlign w:val="center"/>
          </w:tcPr>
          <w:p>
            <w:pPr>
              <w:spacing w:before="40" w:after="40"/>
            </w:pPr>
            <w:r>
              <w:rPr>
                <w:sz w:val="20"/>
              </w:rPr>
              <w:t>CIP-005 R1 (ESP boundary ports)</w:t>
            </w:r>
          </w:p>
        </w:tc>
        <w:tc>
          <w:tcPr>
            <w:tcW w:type="dxa" w:w="3120"/>
            <w:vAlign w:val="center"/>
          </w:tcPr>
          <w:p>
            <w:pPr>
              <w:spacing w:before="40" w:after="40"/>
            </w:pPr>
            <w:r>
              <w:rPr>
                <w:sz w:val="20"/>
              </w:rPr>
              <w:t>CIP-007 R1 (Ports and Services)</w:t>
            </w:r>
          </w:p>
        </w:tc>
      </w:tr>
      <w:tr>
        <w:tc>
          <w:tcPr>
            <w:tcW w:type="dxa" w:w="3120"/>
            <w:vAlign w:val="center"/>
            <w:shd w:val="clear" w:color="auto" w:fill="F2F7FB"/>
          </w:tcPr>
          <w:p>
            <w:pPr>
              <w:spacing w:before="40" w:after="40"/>
            </w:pPr>
            <w:r>
              <w:rPr>
                <w:sz w:val="20"/>
              </w:rPr>
              <w:t>OS or firmware upgrade</w:t>
            </w:r>
          </w:p>
        </w:tc>
        <w:tc>
          <w:tcPr>
            <w:tcW w:type="dxa" w:w="3120"/>
            <w:vAlign w:val="center"/>
            <w:shd w:val="clear" w:color="auto" w:fill="F2F7FB"/>
          </w:tcPr>
          <w:p>
            <w:pPr>
              <w:spacing w:before="40" w:after="40"/>
            </w:pPr>
            <w:r>
              <w:rPr>
                <w:sz w:val="20"/>
              </w:rPr>
              <w:t>CIP-005 R2 (remote access)</w:t>
            </w:r>
          </w:p>
        </w:tc>
        <w:tc>
          <w:tcPr>
            <w:tcW w:type="dxa" w:w="3120"/>
            <w:vAlign w:val="center"/>
            <w:shd w:val="clear" w:color="auto" w:fill="F2F7FB"/>
          </w:tcPr>
          <w:p>
            <w:pPr>
              <w:spacing w:before="40" w:after="40"/>
            </w:pPr>
            <w:r>
              <w:rPr>
                <w:sz w:val="20"/>
              </w:rPr>
              <w:t>CIP-007 R2 (Patch Management), R4 (Logging)</w:t>
            </w:r>
          </w:p>
        </w:tc>
      </w:tr>
      <w:tr>
        <w:tc>
          <w:tcPr>
            <w:tcW w:type="dxa" w:w="3120"/>
            <w:vAlign w:val="center"/>
          </w:tcPr>
          <w:p>
            <w:pPr>
              <w:spacing w:before="40" w:after="40"/>
            </w:pPr>
            <w:r>
              <w:rPr>
                <w:sz w:val="20"/>
              </w:rPr>
              <w:t>Software install / removal</w:t>
            </w:r>
          </w:p>
        </w:tc>
        <w:tc>
          <w:tcPr>
            <w:tcW w:type="dxa" w:w="3120"/>
            <w:vAlign w:val="center"/>
          </w:tcPr>
          <w:p>
            <w:pPr>
              <w:spacing w:before="40" w:after="40"/>
            </w:pPr>
            <w:r>
              <w:rPr>
                <w:sz w:val="20"/>
              </w:rPr>
              <w:t>—</w:t>
            </w:r>
          </w:p>
        </w:tc>
        <w:tc>
          <w:tcPr>
            <w:tcW w:type="dxa" w:w="3120"/>
            <w:vAlign w:val="center"/>
          </w:tcPr>
          <w:p>
            <w:pPr>
              <w:spacing w:before="40" w:after="40"/>
            </w:pPr>
            <w:r>
              <w:rPr>
                <w:sz w:val="20"/>
              </w:rPr>
              <w:t>CIP-007 R1 (ports), R2 (patches)</w:t>
            </w:r>
          </w:p>
        </w:tc>
      </w:tr>
      <w:tr>
        <w:tc>
          <w:tcPr>
            <w:tcW w:type="dxa" w:w="3120"/>
            <w:vAlign w:val="center"/>
            <w:shd w:val="clear" w:color="auto" w:fill="F2F7FB"/>
          </w:tcPr>
          <w:p>
            <w:pPr>
              <w:spacing w:before="40" w:after="40"/>
            </w:pPr>
            <w:r>
              <w:rPr>
                <w:sz w:val="20"/>
              </w:rPr>
              <w:t>Security patch</w:t>
            </w:r>
          </w:p>
        </w:tc>
        <w:tc>
          <w:tcPr>
            <w:tcW w:type="dxa" w:w="3120"/>
            <w:vAlign w:val="center"/>
            <w:shd w:val="clear" w:color="auto" w:fill="F2F7FB"/>
          </w:tcPr>
          <w:p>
            <w:pPr>
              <w:spacing w:before="40" w:after="40"/>
            </w:pPr>
            <w:r>
              <w:rPr>
                <w:sz w:val="20"/>
              </w:rPr>
              <w:t>—</w:t>
            </w:r>
          </w:p>
        </w:tc>
        <w:tc>
          <w:tcPr>
            <w:tcW w:type="dxa" w:w="3120"/>
            <w:vAlign w:val="center"/>
            <w:shd w:val="clear" w:color="auto" w:fill="F2F7FB"/>
          </w:tcPr>
          <w:p>
            <w:pPr>
              <w:spacing w:before="40" w:after="40"/>
            </w:pPr>
            <w:r>
              <w:rPr>
                <w:sz w:val="20"/>
              </w:rPr>
              <w:t>CIP-007 R2 (Patch Management)</w:t>
            </w:r>
          </w:p>
        </w:tc>
      </w:tr>
      <w:tr>
        <w:tc>
          <w:tcPr>
            <w:tcW w:type="dxa" w:w="3120"/>
            <w:vAlign w:val="center"/>
          </w:tcPr>
          <w:p>
            <w:pPr>
              <w:spacing w:before="40" w:after="40"/>
            </w:pPr>
            <w:r>
              <w:rPr>
                <w:sz w:val="20"/>
              </w:rPr>
              <w:t>Access control configuration</w:t>
            </w:r>
          </w:p>
        </w:tc>
        <w:tc>
          <w:tcPr>
            <w:tcW w:type="dxa" w:w="3120"/>
            <w:vAlign w:val="center"/>
          </w:tcPr>
          <w:p>
            <w:pPr>
              <w:spacing w:before="40" w:after="40"/>
            </w:pPr>
            <w:r>
              <w:rPr>
                <w:sz w:val="20"/>
              </w:rPr>
              <w:t>CIP-005 R1–R2</w:t>
            </w:r>
          </w:p>
        </w:tc>
        <w:tc>
          <w:tcPr>
            <w:tcW w:type="dxa" w:w="3120"/>
            <w:vAlign w:val="center"/>
          </w:tcPr>
          <w:p>
            <w:pPr>
              <w:spacing w:before="40" w:after="40"/>
            </w:pPr>
            <w:r>
              <w:rPr>
                <w:sz w:val="20"/>
              </w:rPr>
              <w:t>CIP-007 R5 (Account Management)</w:t>
            </w:r>
          </w:p>
        </w:tc>
      </w:tr>
      <w:tr>
        <w:tc>
          <w:tcPr>
            <w:tcW w:type="dxa" w:w="3120"/>
            <w:vAlign w:val="center"/>
            <w:shd w:val="clear" w:color="auto" w:fill="F2F7FB"/>
          </w:tcPr>
          <w:p>
            <w:pPr>
              <w:spacing w:before="40" w:after="40"/>
            </w:pPr>
            <w:r>
              <w:rPr>
                <w:sz w:val="20"/>
              </w:rPr>
              <w:t>Network architecture change</w:t>
            </w:r>
          </w:p>
        </w:tc>
        <w:tc>
          <w:tcPr>
            <w:tcW w:type="dxa" w:w="3120"/>
            <w:vAlign w:val="center"/>
            <w:shd w:val="clear" w:color="auto" w:fill="F2F7FB"/>
          </w:tcPr>
          <w:p>
            <w:pPr>
              <w:spacing w:before="40" w:after="40"/>
            </w:pPr>
            <w:r>
              <w:rPr>
                <w:sz w:val="20"/>
              </w:rPr>
              <w:t>CIP-005 R1–R3 (full ESP review)</w:t>
            </w:r>
          </w:p>
        </w:tc>
        <w:tc>
          <w:tcPr>
            <w:tcW w:type="dxa" w:w="3120"/>
            <w:vAlign w:val="center"/>
            <w:shd w:val="clear" w:color="auto" w:fill="F2F7FB"/>
          </w:tcPr>
          <w:p>
            <w:pPr>
              <w:spacing w:before="40" w:after="40"/>
            </w:pPr>
            <w:r>
              <w:rPr>
                <w:sz w:val="20"/>
              </w:rPr>
              <w:t>CIP-007 R1</w:t>
            </w:r>
          </w:p>
        </w:tc>
      </w:tr>
    </w:tbl>
    <w:p/>
    <w:p>
      <w:pPr>
        <w:pStyle w:val="Heading3"/>
      </w:pPr>
      <w:r>
        <w:rPr>
          <w:sz w:val="22"/>
        </w:rPr>
        <w:t>6.2 Assessment Process</w:t>
      </w:r>
    </w:p>
    <w:p>
      <w:pPr>
        <w:pStyle w:val="ListNumber"/>
        <w:spacing w:after="40"/>
        <w:ind w:left="283"/>
      </w:pPr>
      <w:r>
        <w:rPr>
          <w:sz w:val="22"/>
        </w:rPr>
        <w:t>Change Requester completes control impact section of the CR (using matrix above as guidance).</w:t>
      </w:r>
    </w:p>
    <w:p>
      <w:pPr>
        <w:pStyle w:val="ListNumber"/>
        <w:spacing w:after="40"/>
        <w:ind w:left="283"/>
      </w:pPr>
      <w:r>
        <w:rPr>
          <w:sz w:val="22"/>
        </w:rPr>
        <w:t>IT/Cybersecurity Manager reviews and confirms or expands the impact assessment.</w:t>
      </w:r>
    </w:p>
    <w:p>
      <w:pPr>
        <w:pStyle w:val="ListNumber"/>
        <w:spacing w:after="40"/>
        <w:ind w:left="283"/>
      </w:pPr>
      <w:r>
        <w:rPr>
          <w:sz w:val="22"/>
        </w:rPr>
        <w:t>Assessment results are documented on the CR before CCB review.</w:t>
      </w:r>
    </w:p>
    <w:p>
      <w:pPr>
        <w:pStyle w:val="ListNumber"/>
        <w:spacing w:after="40"/>
        <w:ind w:left="283"/>
      </w:pPr>
      <w:r>
        <w:rPr>
          <w:sz w:val="22"/>
        </w:rPr>
        <w:t>Post-change verification confirms affected controls still meet requirements (Section 7).</w:t>
      </w:r>
    </w:p>
    <w:p>
      <w:pPr>
        <w:pBdr>
          <w:bottom w:val="single" w:sz="4" w:space="1" w:color="AAAAAA"/>
        </w:pBdr>
      </w:pPr>
    </w:p>
    <w:p>
      <w:pPr>
        <w:pStyle w:val="Heading2"/>
      </w:pPr>
      <w:r>
        <w:rPr>
          <w:sz w:val="22"/>
        </w:rPr>
        <w:t>7. Post-Change Verification</w:t>
      </w:r>
    </w:p>
    <w:tbl>
      <w:tblPr>
        <w:tblStyle w:val="TableGrid"/>
        <w:tblW w:type="auto" w:w="0"/>
        <w:tblLook w:firstColumn="1" w:firstRow="1" w:lastColumn="0" w:lastRow="0" w:noHBand="0" w:noVBand="1" w:val="04A0"/>
      </w:tblPr>
      <w:tblGrid>
        <w:gridCol w:w="9360"/>
      </w:tblGrid>
      <w:tr>
        <w:tc>
          <w:tcPr>
            <w:tcW w:type="dxa" w:w="9360"/>
            <w:shd w:val="clear" w:color="auto" w:fill="EBF3FB"/>
            <w:tcBorders>
              <w:top w:val="single" w:sz="4" w:color="2E75B6"/>
              <w:bottom w:val="single" w:sz="4" w:color="2E75B6"/>
              <w:left w:val="single" w:sz="18" w:color="2E75B6"/>
              <w:right w:val="single" w:sz="4" w:color="2E75B6"/>
            </w:tcBorders>
          </w:tcPr>
          <w:p>
            <w:pPr>
              <w:spacing w:before="80" w:after="80"/>
              <w:ind w:left="170"/>
            </w:pPr>
            <w:r>
              <w:rPr>
                <w:b/>
                <w:color w:val="1F497D"/>
                <w:sz w:val="20"/>
              </w:rPr>
              <w:t>NERC CIP — CIP-010 R1.3</w:t>
            </w:r>
            <w:r>
              <w:rPr>
                <w:sz w:val="20"/>
              </w:rPr>
              <w:t>: Changes must be verified after implementation. Verification confirms the change was implemented as documented and that affected controls remain functional.</w:t>
            </w:r>
          </w:p>
        </w:tc>
      </w:tr>
    </w:tbl>
    <w:p/>
    <w:p>
      <w:pPr>
        <w:pStyle w:val="Heading3"/>
      </w:pPr>
      <w:r>
        <w:rPr>
          <w:sz w:val="22"/>
        </w:rPr>
        <w:t>7.1 Verification Steps</w:t>
      </w:r>
    </w:p>
    <w:p>
      <w:pPr>
        <w:pStyle w:val="ListNumber"/>
        <w:spacing w:after="40"/>
        <w:ind w:left="283"/>
      </w:pPr>
      <w:r>
        <w:rPr>
          <w:sz w:val="22"/>
        </w:rPr>
        <w:t>Change Implementer confirms implementation matches the approved implementation plan.</w:t>
      </w:r>
    </w:p>
    <w:p>
      <w:pPr>
        <w:pStyle w:val="ListNumber"/>
        <w:spacing w:after="40"/>
        <w:ind w:left="283"/>
      </w:pPr>
      <w:r>
        <w:rPr>
          <w:sz w:val="22"/>
        </w:rPr>
        <w:t>Affected controls identified in the impact assessment (Section 6) are tested or reviewed.</w:t>
      </w:r>
    </w:p>
    <w:p>
      <w:pPr>
        <w:pStyle w:val="ListNumber"/>
        <w:spacing w:after="40"/>
        <w:ind w:left="283"/>
      </w:pPr>
      <w:r>
        <w:rPr>
          <w:sz w:val="22"/>
        </w:rPr>
        <w:t>CMDB CI baseline attributes are updated to reflect the new authorized configuration.</w:t>
      </w:r>
    </w:p>
    <w:p>
      <w:pPr>
        <w:pStyle w:val="ListNumber"/>
        <w:spacing w:after="40"/>
        <w:ind w:left="283"/>
      </w:pPr>
      <w:r>
        <w:rPr>
          <w:sz w:val="22"/>
        </w:rPr>
        <w:t>A Post-Change Verification Report is completed and attached to the CR.</w:t>
      </w:r>
    </w:p>
    <w:p>
      <w:pPr>
        <w:pStyle w:val="ListNumber"/>
        <w:spacing w:after="40"/>
        <w:ind w:left="283"/>
      </w:pPr>
      <w:r>
        <w:rPr>
          <w:sz w:val="22"/>
        </w:rPr>
        <w:t>System Owner signs off on verification completion.</w:t>
      </w:r>
    </w:p>
    <w:p>
      <w:pPr>
        <w:pStyle w:val="Heading3"/>
      </w:pPr>
      <w:r>
        <w:rPr>
          <w:sz w:val="22"/>
        </w:rPr>
        <w:t>7.2 Verification Report Contents</w:t>
      </w:r>
    </w:p>
    <w:p>
      <w:pPr>
        <w:pStyle w:val="ListBullet"/>
        <w:spacing w:after="40"/>
        <w:ind w:left="283"/>
      </w:pPr>
      <w:r>
        <w:rPr>
          <w:sz w:val="22"/>
        </w:rPr>
        <w:t>Date and time of verification</w:t>
      </w:r>
    </w:p>
    <w:p>
      <w:pPr>
        <w:pStyle w:val="ListBullet"/>
        <w:spacing w:after="40"/>
        <w:ind w:left="283"/>
      </w:pPr>
      <w:r>
        <w:rPr>
          <w:sz w:val="22"/>
        </w:rPr>
        <w:t>Name of verifier</w:t>
      </w:r>
    </w:p>
    <w:p>
      <w:pPr>
        <w:pStyle w:val="ListBullet"/>
        <w:spacing w:after="40"/>
        <w:ind w:left="283"/>
      </w:pPr>
      <w:r>
        <w:rPr>
          <w:sz w:val="22"/>
        </w:rPr>
        <w:t>Each affected control verified (CIP-005 / CIP-007 reference)</w:t>
      </w:r>
    </w:p>
    <w:p>
      <w:pPr>
        <w:pStyle w:val="ListBullet"/>
        <w:spacing w:after="40"/>
        <w:ind w:left="283"/>
      </w:pPr>
      <w:r>
        <w:rPr>
          <w:sz w:val="22"/>
        </w:rPr>
        <w:t>Verification method (test, review, screenshot, log excerpt)</w:t>
      </w:r>
    </w:p>
    <w:p>
      <w:pPr>
        <w:pStyle w:val="ListBullet"/>
        <w:spacing w:after="40"/>
        <w:ind w:left="283"/>
      </w:pPr>
      <w:r>
        <w:rPr>
          <w:sz w:val="22"/>
        </w:rPr>
        <w:t>Pass / Fail result for each control</w:t>
      </w:r>
    </w:p>
    <w:p>
      <w:pPr>
        <w:pStyle w:val="ListBullet"/>
        <w:spacing w:after="40"/>
        <w:ind w:left="283"/>
      </w:pPr>
      <w:r>
        <w:rPr>
          <w:sz w:val="22"/>
        </w:rPr>
        <w:t>Any issues identified and remediation actions</w:t>
      </w:r>
    </w:p>
    <w:p>
      <w:pPr>
        <w:pStyle w:val="Heading3"/>
      </w:pPr>
      <w:r>
        <w:rPr>
          <w:sz w:val="22"/>
        </w:rPr>
        <w:t>7.3 Failed Verification</w:t>
      </w:r>
    </w:p>
    <w:p>
      <w:pPr>
        <w:spacing w:after="120"/>
      </w:pPr>
      <w:r>
        <w:rPr>
          <w:sz w:val="22"/>
        </w:rPr>
        <w:t>If post-change verification fails:</w:t>
      </w:r>
    </w:p>
    <w:p>
      <w:pPr>
        <w:pStyle w:val="ListNumber"/>
        <w:spacing w:after="40"/>
        <w:ind w:left="283"/>
      </w:pPr>
      <w:r>
        <w:rPr>
          <w:sz w:val="22"/>
        </w:rPr>
        <w:t xml:space="preserve">Change is escalated to the CCB Chair within </w:t>
      </w:r>
      <w:r>
        <w:rPr>
          <w:b/>
          <w:sz w:val="22"/>
        </w:rPr>
        <w:t>1 business day</w:t>
      </w:r>
      <w:r>
        <w:rPr>
          <w:sz w:val="22"/>
        </w:rPr>
        <w:t>.</w:t>
      </w:r>
    </w:p>
    <w:p>
      <w:pPr>
        <w:pStyle w:val="ListNumber"/>
        <w:spacing w:after="40"/>
        <w:ind w:left="283"/>
      </w:pPr>
      <w:r>
        <w:rPr>
          <w:sz w:val="22"/>
        </w:rPr>
        <w:t>Rollback is executed unless the CCB Chair determines a remediation path is acceptable.</w:t>
      </w:r>
    </w:p>
    <w:p>
      <w:pPr>
        <w:pStyle w:val="ListNumber"/>
        <w:spacing w:after="40"/>
        <w:ind w:left="283"/>
      </w:pPr>
      <w:r>
        <w:rPr>
          <w:sz w:val="22"/>
        </w:rPr>
        <w:t>A new CR is opened for the remediation action.</w:t>
      </w:r>
    </w:p>
    <w:p>
      <w:pPr>
        <w:pBdr>
          <w:bottom w:val="single" w:sz="4" w:space="1" w:color="AAAAAA"/>
        </w:pBdr>
      </w:pPr>
    </w:p>
    <w:p>
      <w:pPr>
        <w:pStyle w:val="Heading2"/>
      </w:pPr>
      <w:r>
        <w:rPr>
          <w:sz w:val="22"/>
        </w:rPr>
        <w:t>8. Configuration Monitoring</w:t>
      </w:r>
    </w:p>
    <w:tbl>
      <w:tblPr>
        <w:tblStyle w:val="TableGrid"/>
        <w:tblW w:type="auto" w:w="0"/>
        <w:tblLook w:firstColumn="1" w:firstRow="1" w:lastColumn="0" w:lastRow="0" w:noHBand="0" w:noVBand="1" w:val="04A0"/>
      </w:tblPr>
      <w:tblGrid>
        <w:gridCol w:w="9360"/>
      </w:tblGrid>
      <w:tr>
        <w:tc>
          <w:tcPr>
            <w:tcW w:type="dxa" w:w="9360"/>
            <w:shd w:val="clear" w:color="auto" w:fill="EBF3FB"/>
            <w:tcBorders>
              <w:top w:val="single" w:sz="4" w:color="2E75B6"/>
              <w:bottom w:val="single" w:sz="4" w:color="2E75B6"/>
              <w:left w:val="single" w:sz="18" w:color="2E75B6"/>
              <w:right w:val="single" w:sz="4" w:color="2E75B6"/>
            </w:tcBorders>
          </w:tcPr>
          <w:p>
            <w:pPr>
              <w:spacing w:before="80" w:after="80"/>
              <w:ind w:left="170"/>
            </w:pPr>
            <w:r>
              <w:rPr>
                <w:b/>
                <w:color w:val="1F497D"/>
                <w:sz w:val="20"/>
              </w:rPr>
              <w:t>NERC CIP — CIP-010 R2</w:t>
            </w:r>
            <w:r>
              <w:rPr>
                <w:sz w:val="20"/>
              </w:rPr>
              <w:t xml:space="preserve">: </w:t>
            </w:r>
            <w:r>
              <w:rPr>
                <w:i/>
                <w:sz w:val="20"/>
              </w:rPr>
              <w:t>"Monitor at least every 35 calendar days for changes to the baseline configuration (as described in Requirement R1, Part 1.1) of in-scope Cyber Assets."</w:t>
            </w:r>
            <w:r>
              <w:rPr>
                <w:sz w:val="20"/>
              </w:rPr>
              <w:t xml:space="preserve"> Unauthorized changes must be investigated.</w:t>
            </w:r>
          </w:p>
        </w:tc>
      </w:tr>
    </w:tbl>
    <w:p/>
    <w:p>
      <w:pPr>
        <w:pStyle w:val="Heading3"/>
      </w:pPr>
      <w:r>
        <w:rPr>
          <w:sz w:val="22"/>
        </w:rPr>
        <w:t>8.1 Monitoring Method</w:t>
      </w:r>
    </w:p>
    <w:p>
      <w:pPr>
        <w:spacing w:after="120"/>
      </w:pPr>
      <w:r>
        <w:rPr>
          <w:sz w:val="22"/>
        </w:rPr>
        <w:t>[Select one or both methods used by the organization:]</w:t>
      </w:r>
    </w:p>
    <w:p>
      <w:pPr>
        <w:spacing w:after="120"/>
      </w:pPr>
      <w:r>
        <w:rPr>
          <w:b/>
          <w:sz w:val="22"/>
        </w:rPr>
        <w:t>Option A — Automated Drift Detection</w:t>
      </w:r>
    </w:p>
    <w:p>
      <w:pPr>
        <w:pStyle w:val="ListBullet"/>
        <w:spacing w:after="40"/>
        <w:ind w:left="283"/>
      </w:pPr>
      <w:r>
        <w:rPr>
          <w:sz w:val="22"/>
        </w:rPr>
        <w:t>Tool: [e.g., Tripwire, Industrial Defender, Forescout]</w:t>
      </w:r>
    </w:p>
    <w:p>
      <w:pPr>
        <w:pStyle w:val="ListBullet"/>
        <w:spacing w:after="40"/>
        <w:ind w:left="283"/>
      </w:pPr>
      <w:r>
        <w:rPr>
          <w:sz w:val="22"/>
        </w:rPr>
        <w:t>Frequency: Continuous / Daily / Weekly scan of BES Cyber System configurations</w:t>
      </w:r>
    </w:p>
    <w:p>
      <w:pPr>
        <w:pStyle w:val="ListBullet"/>
        <w:spacing w:after="40"/>
        <w:ind w:left="283"/>
      </w:pPr>
      <w:r>
        <w:rPr>
          <w:sz w:val="22"/>
        </w:rPr>
        <w:t>Alerts route to: [Team / Queue]</w:t>
      </w:r>
    </w:p>
    <w:p>
      <w:pPr>
        <w:pStyle w:val="ListBullet"/>
        <w:spacing w:after="40"/>
        <w:ind w:left="283"/>
      </w:pPr>
      <w:r>
        <w:rPr>
          <w:sz w:val="22"/>
        </w:rPr>
        <w:t xml:space="preserve">Unauthorized change alert SLA: Investigated within </w:t>
      </w:r>
      <w:r>
        <w:rPr>
          <w:b/>
          <w:sz w:val="22"/>
        </w:rPr>
        <w:t>[X] business days</w:t>
      </w:r>
    </w:p>
    <w:p>
      <w:pPr>
        <w:spacing w:after="120"/>
      </w:pPr>
      <w:r>
        <w:rPr>
          <w:b/>
          <w:sz w:val="22"/>
        </w:rPr>
        <w:t>Option B — Scheduled Manual Review</w:t>
      </w:r>
    </w:p>
    <w:p>
      <w:pPr>
        <w:pStyle w:val="ListBullet"/>
        <w:spacing w:after="40"/>
        <w:ind w:left="283"/>
      </w:pPr>
      <w:r>
        <w:rPr>
          <w:sz w:val="22"/>
        </w:rPr>
        <w:t>Reviewer: [Role / Name]</w:t>
      </w:r>
    </w:p>
    <w:p>
      <w:pPr>
        <w:pStyle w:val="ListBullet"/>
        <w:spacing w:after="40"/>
        <w:ind w:left="283"/>
      </w:pPr>
      <w:r>
        <w:rPr>
          <w:sz w:val="22"/>
        </w:rPr>
        <w:t xml:space="preserve">Frequency: Every </w:t>
      </w:r>
      <w:r>
        <w:rPr>
          <w:b/>
          <w:sz w:val="22"/>
        </w:rPr>
        <w:t>35 calendar days</w:t>
      </w:r>
      <w:r>
        <w:rPr>
          <w:sz w:val="22"/>
        </w:rPr>
        <w:t xml:space="preserve"> (maximum)</w:t>
      </w:r>
    </w:p>
    <w:p>
      <w:pPr>
        <w:pStyle w:val="ListBullet"/>
        <w:spacing w:after="40"/>
        <w:ind w:left="283"/>
      </w:pPr>
      <w:r>
        <w:rPr>
          <w:sz w:val="22"/>
        </w:rPr>
        <w:t>Process: Compare current CI attributes in CMDB against last approved baseline snapshot</w:t>
      </w:r>
    </w:p>
    <w:p>
      <w:pPr>
        <w:pStyle w:val="ListBullet"/>
        <w:spacing w:after="40"/>
        <w:ind w:left="283"/>
      </w:pPr>
      <w:r>
        <w:rPr>
          <w:sz w:val="22"/>
        </w:rPr>
        <w:t>Results documented in: [Location / ServiceNow record]</w:t>
      </w:r>
    </w:p>
    <w:p>
      <w:pPr>
        <w:pStyle w:val="Heading3"/>
      </w:pPr>
      <w:r>
        <w:rPr>
          <w:sz w:val="22"/>
        </w:rPr>
        <w:t>8.2 Unauthorized Change Response</w:t>
      </w:r>
    </w:p>
    <w:p>
      <w:pPr>
        <w:spacing w:after="120"/>
      </w:pPr>
      <w:r>
        <w:rPr>
          <w:sz w:val="22"/>
        </w:rPr>
        <w:t>If a configuration deviation is detected that does not correspond to an approved CR:</w:t>
      </w:r>
    </w:p>
    <w:p>
      <w:pPr>
        <w:pStyle w:val="ListNumber"/>
        <w:spacing w:after="40"/>
        <w:ind w:left="283"/>
      </w:pPr>
      <w:r>
        <w:rPr>
          <w:sz w:val="22"/>
        </w:rPr>
        <w:t>Alert or finding is logged in ServiceNow as a Security Incident.</w:t>
      </w:r>
    </w:p>
    <w:p>
      <w:pPr>
        <w:pStyle w:val="ListNumber"/>
        <w:spacing w:after="40"/>
        <w:ind w:left="283"/>
      </w:pPr>
      <w:r>
        <w:rPr>
          <w:sz w:val="22"/>
        </w:rPr>
        <w:t xml:space="preserve">OT Engineering and IT/Cybersecurity are notified within </w:t>
      </w:r>
      <w:r>
        <w:rPr>
          <w:b/>
          <w:sz w:val="22"/>
        </w:rPr>
        <w:t>[X] hours</w:t>
      </w:r>
      <w:r>
        <w:rPr>
          <w:sz w:val="22"/>
        </w:rPr>
        <w:t>.</w:t>
      </w:r>
    </w:p>
    <w:p>
      <w:pPr>
        <w:pStyle w:val="ListNumber"/>
        <w:spacing w:after="40"/>
        <w:ind w:left="283"/>
      </w:pPr>
      <w:r>
        <w:rPr>
          <w:sz w:val="22"/>
        </w:rPr>
        <w:t>Root cause analysis is initiated.</w:t>
      </w:r>
    </w:p>
    <w:p>
      <w:pPr>
        <w:pStyle w:val="ListNumber"/>
        <w:spacing w:after="40"/>
        <w:ind w:left="283"/>
      </w:pPr>
      <w:r>
        <w:rPr>
          <w:sz w:val="22"/>
        </w:rPr>
        <w:t>If change is determined unauthorized, it is remediated (reverted or authorized via emergency CR).</w:t>
      </w:r>
    </w:p>
    <w:p>
      <w:pPr>
        <w:pStyle w:val="ListNumber"/>
        <w:spacing w:after="40"/>
        <w:ind w:left="283"/>
      </w:pPr>
      <w:r>
        <w:rPr>
          <w:sz w:val="22"/>
        </w:rPr>
        <w:t>Incident record documents the detection, investigation, and resolution.</w:t>
      </w:r>
    </w:p>
    <w:p>
      <w:pPr>
        <w:pStyle w:val="ListNumber"/>
        <w:spacing w:after="40"/>
        <w:ind w:left="283"/>
      </w:pPr>
      <w:r>
        <w:rPr>
          <w:sz w:val="22"/>
        </w:rPr>
        <w:t>Finding is reviewed by the CCB at the next scheduled meeting.</w:t>
      </w:r>
    </w:p>
    <w:p>
      <w:pPr>
        <w:pStyle w:val="Heading3"/>
      </w:pPr>
      <w:r>
        <w:rPr>
          <w:sz w:val="22"/>
        </w:rPr>
        <w:t>8.3 Monitoring Evidence</w:t>
      </w:r>
    </w:p>
    <w:p>
      <w:pPr>
        <w:spacing w:after="120"/>
      </w:pPr>
      <w:r>
        <w:rPr>
          <w:sz w:val="22"/>
        </w:rPr>
        <w:t>For each 35-day monitoring cycle, the following evidence is retained:</w:t>
      </w:r>
    </w:p>
    <w:p>
      <w:pPr>
        <w:pStyle w:val="ListBullet"/>
        <w:spacing w:after="40"/>
        <w:ind w:left="283"/>
      </w:pPr>
      <w:r>
        <w:rPr>
          <w:sz w:val="22"/>
        </w:rPr>
        <w:t>Date monitoring was performed</w:t>
      </w:r>
    </w:p>
    <w:p>
      <w:pPr>
        <w:pStyle w:val="ListBullet"/>
        <w:spacing w:after="40"/>
        <w:ind w:left="283"/>
      </w:pPr>
      <w:r>
        <w:rPr>
          <w:sz w:val="22"/>
        </w:rPr>
        <w:t>Method used (automated alert log or manual review record)</w:t>
      </w:r>
    </w:p>
    <w:p>
      <w:pPr>
        <w:pStyle w:val="ListBullet"/>
        <w:spacing w:after="40"/>
        <w:ind w:left="283"/>
      </w:pPr>
      <w:r>
        <w:rPr>
          <w:sz w:val="22"/>
        </w:rPr>
        <w:t>Systems reviewed</w:t>
      </w:r>
    </w:p>
    <w:p>
      <w:pPr>
        <w:pStyle w:val="ListBullet"/>
        <w:spacing w:after="40"/>
        <w:ind w:left="283"/>
      </w:pPr>
      <w:r>
        <w:rPr>
          <w:sz w:val="22"/>
        </w:rPr>
        <w:t>Any deviations identified and their disposition</w:t>
      </w:r>
    </w:p>
    <w:p>
      <w:pPr>
        <w:pStyle w:val="ListBullet"/>
        <w:spacing w:after="40"/>
        <w:ind w:left="283"/>
      </w:pPr>
      <w:r>
        <w:rPr>
          <w:sz w:val="22"/>
        </w:rPr>
        <w:t>Name of reviewer / system</w:t>
      </w:r>
    </w:p>
    <w:p>
      <w:pPr>
        <w:pBdr>
          <w:bottom w:val="single" w:sz="4" w:space="1" w:color="AAAAAA"/>
        </w:pBdr>
      </w:pPr>
    </w:p>
    <w:p>
      <w:pPr>
        <w:pStyle w:val="Heading2"/>
      </w:pPr>
      <w:r>
        <w:rPr>
          <w:sz w:val="22"/>
        </w:rPr>
        <w:t>9. Vulnerability Assessments</w:t>
      </w:r>
    </w:p>
    <w:tbl>
      <w:tblPr>
        <w:tblStyle w:val="TableGrid"/>
        <w:tblW w:type="auto" w:w="0"/>
        <w:tblLook w:firstColumn="1" w:firstRow="1" w:lastColumn="0" w:lastRow="0" w:noHBand="0" w:noVBand="1" w:val="04A0"/>
      </w:tblPr>
      <w:tblGrid>
        <w:gridCol w:w="9360"/>
      </w:tblGrid>
      <w:tr>
        <w:tc>
          <w:tcPr>
            <w:tcW w:type="dxa" w:w="9360"/>
            <w:shd w:val="clear" w:color="auto" w:fill="EBF3FB"/>
            <w:tcBorders>
              <w:top w:val="single" w:sz="4" w:color="2E75B6"/>
              <w:bottom w:val="single" w:sz="4" w:color="2E75B6"/>
              <w:left w:val="single" w:sz="18" w:color="2E75B6"/>
              <w:right w:val="single" w:sz="4" w:color="2E75B6"/>
            </w:tcBorders>
          </w:tcPr>
          <w:p>
            <w:pPr>
              <w:spacing w:before="80" w:after="80"/>
              <w:ind w:left="170"/>
            </w:pPr>
            <w:r>
              <w:rPr>
                <w:b/>
                <w:color w:val="1F497D"/>
                <w:sz w:val="20"/>
              </w:rPr>
              <w:t>NERC CIP — CIP-010 R3</w:t>
            </w:r>
            <w:r>
              <w:rPr>
                <w:sz w:val="20"/>
              </w:rPr>
              <w:t xml:space="preserve">: Periodic vulnerability assessments are required for High and Medium impact BES Cyber Systems. High impact systems require at least one assessment every </w:t>
            </w:r>
            <w:r>
              <w:rPr>
                <w:b/>
                <w:sz w:val="20"/>
              </w:rPr>
              <w:t>15 calendar months</w:t>
            </w:r>
            <w:r>
              <w:rPr>
                <w:sz w:val="20"/>
              </w:rPr>
              <w:t xml:space="preserve">. Medium impact systems require at least one every </w:t>
            </w:r>
            <w:r>
              <w:rPr>
                <w:b/>
                <w:sz w:val="20"/>
              </w:rPr>
              <w:t>36 calendar months</w:t>
            </w:r>
            <w:r>
              <w:rPr>
                <w:sz w:val="20"/>
              </w:rPr>
              <w:t>.</w:t>
            </w:r>
          </w:p>
        </w:tc>
      </w:tr>
    </w:tbl>
    <w:p/>
    <w:p>
      <w:pPr>
        <w:pStyle w:val="Heading3"/>
      </w:pPr>
      <w:r>
        <w:rPr>
          <w:sz w:val="22"/>
        </w:rPr>
        <w:t>9.1 Assessment Schedule</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2340"/>
            <w:vAlign w:val="center"/>
            <w:shd w:val="clear" w:color="auto" w:fill="2E75B6"/>
          </w:tcPr>
          <w:p>
            <w:pPr>
              <w:spacing w:before="40" w:after="40"/>
            </w:pPr>
            <w:r>
              <w:rPr>
                <w:b/>
                <w:color w:val="FFFFFF"/>
                <w:sz w:val="20"/>
              </w:rPr>
              <w:t>System</w:t>
            </w:r>
          </w:p>
        </w:tc>
        <w:tc>
          <w:tcPr>
            <w:tcW w:type="dxa" w:w="2340"/>
            <w:vAlign w:val="center"/>
            <w:shd w:val="clear" w:color="auto" w:fill="2E75B6"/>
          </w:tcPr>
          <w:p>
            <w:pPr>
              <w:spacing w:before="40" w:after="40"/>
            </w:pPr>
            <w:r>
              <w:rPr>
                <w:b/>
                <w:color w:val="FFFFFF"/>
                <w:sz w:val="20"/>
              </w:rPr>
              <w:t>Impact Level</w:t>
            </w:r>
          </w:p>
        </w:tc>
        <w:tc>
          <w:tcPr>
            <w:tcW w:type="dxa" w:w="2340"/>
            <w:vAlign w:val="center"/>
            <w:shd w:val="clear" w:color="auto" w:fill="2E75B6"/>
          </w:tcPr>
          <w:p>
            <w:pPr>
              <w:spacing w:before="40" w:after="40"/>
            </w:pPr>
            <w:r>
              <w:rPr>
                <w:b/>
                <w:color w:val="FFFFFF"/>
                <w:sz w:val="20"/>
              </w:rPr>
              <w:t>Assessment Frequency</w:t>
            </w:r>
          </w:p>
        </w:tc>
        <w:tc>
          <w:tcPr>
            <w:tcW w:type="dxa" w:w="2340"/>
            <w:vAlign w:val="center"/>
            <w:shd w:val="clear" w:color="auto" w:fill="2E75B6"/>
          </w:tcPr>
          <w:p>
            <w:pPr>
              <w:spacing w:before="40" w:after="40"/>
            </w:pPr>
            <w:r>
              <w:rPr>
                <w:b/>
                <w:color w:val="FFFFFF"/>
                <w:sz w:val="20"/>
              </w:rPr>
              <w:t>Next Assessment Due</w:t>
            </w:r>
          </w:p>
        </w:tc>
      </w:tr>
      <w:tr>
        <w:tc>
          <w:tcPr>
            <w:tcW w:type="dxa" w:w="2340"/>
            <w:vAlign w:val="center"/>
          </w:tcPr>
          <w:p>
            <w:pPr>
              <w:spacing w:before="40" w:after="40"/>
            </w:pPr>
            <w:r>
              <w:rPr>
                <w:sz w:val="20"/>
              </w:rPr>
              <w:t>[System Name]</w:t>
            </w:r>
          </w:p>
        </w:tc>
        <w:tc>
          <w:tcPr>
            <w:tcW w:type="dxa" w:w="2340"/>
            <w:vAlign w:val="center"/>
          </w:tcPr>
          <w:p>
            <w:pPr>
              <w:spacing w:before="40" w:after="40"/>
            </w:pPr>
            <w:r>
              <w:rPr>
                <w:sz w:val="20"/>
              </w:rPr>
              <w:t>High</w:t>
            </w:r>
          </w:p>
        </w:tc>
        <w:tc>
          <w:tcPr>
            <w:tcW w:type="dxa" w:w="2340"/>
            <w:vAlign w:val="center"/>
          </w:tcPr>
          <w:p>
            <w:pPr>
              <w:spacing w:before="40" w:after="40"/>
            </w:pPr>
            <w:r>
              <w:rPr>
                <w:sz w:val="20"/>
              </w:rPr>
              <w:t>15 months</w:t>
            </w:r>
          </w:p>
        </w:tc>
        <w:tc>
          <w:tcPr>
            <w:tcW w:type="dxa" w:w="2340"/>
            <w:vAlign w:val="center"/>
          </w:tcPr>
          <w:p>
            <w:pPr>
              <w:spacing w:before="40" w:after="40"/>
            </w:pPr>
            <w:r>
              <w:rPr>
                <w:sz w:val="20"/>
              </w:rPr>
              <w:t>[Date]</w:t>
            </w:r>
          </w:p>
        </w:tc>
      </w:tr>
      <w:tr>
        <w:tc>
          <w:tcPr>
            <w:tcW w:type="dxa" w:w="2340"/>
            <w:vAlign w:val="center"/>
            <w:shd w:val="clear" w:color="auto" w:fill="F2F7FB"/>
          </w:tcPr>
          <w:p>
            <w:pPr>
              <w:spacing w:before="40" w:after="40"/>
            </w:pPr>
            <w:r>
              <w:rPr>
                <w:sz w:val="20"/>
              </w:rPr>
              <w:t>[System Name]</w:t>
            </w:r>
          </w:p>
        </w:tc>
        <w:tc>
          <w:tcPr>
            <w:tcW w:type="dxa" w:w="2340"/>
            <w:vAlign w:val="center"/>
            <w:shd w:val="clear" w:color="auto" w:fill="F2F7FB"/>
          </w:tcPr>
          <w:p>
            <w:pPr>
              <w:spacing w:before="40" w:after="40"/>
            </w:pPr>
            <w:r>
              <w:rPr>
                <w:sz w:val="20"/>
              </w:rPr>
              <w:t>Medium</w:t>
            </w:r>
          </w:p>
        </w:tc>
        <w:tc>
          <w:tcPr>
            <w:tcW w:type="dxa" w:w="2340"/>
            <w:vAlign w:val="center"/>
            <w:shd w:val="clear" w:color="auto" w:fill="F2F7FB"/>
          </w:tcPr>
          <w:p>
            <w:pPr>
              <w:spacing w:before="40" w:after="40"/>
            </w:pPr>
            <w:r>
              <w:rPr>
                <w:sz w:val="20"/>
              </w:rPr>
              <w:t>36 months</w:t>
            </w:r>
          </w:p>
        </w:tc>
        <w:tc>
          <w:tcPr>
            <w:tcW w:type="dxa" w:w="2340"/>
            <w:vAlign w:val="center"/>
            <w:shd w:val="clear" w:color="auto" w:fill="F2F7FB"/>
          </w:tcPr>
          <w:p>
            <w:pPr>
              <w:spacing w:before="40" w:after="40"/>
            </w:pPr>
            <w:r>
              <w:rPr>
                <w:sz w:val="20"/>
              </w:rPr>
              <w:t>[Date]</w:t>
            </w:r>
          </w:p>
        </w:tc>
      </w:tr>
    </w:tbl>
    <w:p/>
    <w:p>
      <w:pPr>
        <w:pStyle w:val="Heading3"/>
      </w:pPr>
      <w:r>
        <w:rPr>
          <w:sz w:val="22"/>
        </w:rPr>
        <w:t>9.2 Assessment Process</w:t>
      </w:r>
    </w:p>
    <w:p>
      <w:pPr>
        <w:pStyle w:val="ListNumber"/>
        <w:spacing w:after="40"/>
        <w:ind w:left="283"/>
      </w:pPr>
      <w:r>
        <w:rPr>
          <w:sz w:val="22"/>
        </w:rPr>
        <w:t>Scope is defined to include all in-scope BES Cyber Assets and their EACMS/PCA.</w:t>
      </w:r>
    </w:p>
    <w:p>
      <w:pPr>
        <w:pStyle w:val="ListNumber"/>
        <w:spacing w:after="40"/>
        <w:ind w:left="283"/>
      </w:pPr>
      <w:r>
        <w:rPr>
          <w:sz w:val="22"/>
        </w:rPr>
        <w:t>Assessment methodology: [e.g., NERC-endorsed method, vendor tool, qualified assessor]</w:t>
      </w:r>
    </w:p>
    <w:p>
      <w:pPr>
        <w:pStyle w:val="ListNumber"/>
        <w:spacing w:after="40"/>
        <w:ind w:left="283"/>
      </w:pPr>
      <w:r>
        <w:rPr>
          <w:sz w:val="22"/>
        </w:rPr>
        <w:t>Results documented in a Vulnerability Assessment Report.</w:t>
      </w:r>
    </w:p>
    <w:p>
      <w:pPr>
        <w:pStyle w:val="ListNumber"/>
        <w:spacing w:after="40"/>
        <w:ind w:left="283"/>
      </w:pPr>
      <w:r>
        <w:rPr>
          <w:sz w:val="22"/>
        </w:rPr>
        <w:t>Identified vulnerabilities are tracked in ServiceNow with:</w:t>
      </w:r>
    </w:p>
    <w:p>
      <w:pPr>
        <w:pStyle w:val="ListBullet"/>
        <w:spacing w:after="40"/>
        <w:ind w:left="567"/>
      </w:pPr>
      <w:r>
        <w:rPr>
          <w:sz w:val="22"/>
        </w:rPr>
        <w:t>Vulnerability description and CVE (if applicable)</w:t>
      </w:r>
    </w:p>
    <w:p>
      <w:pPr>
        <w:pStyle w:val="ListBullet"/>
        <w:spacing w:after="40"/>
        <w:ind w:left="567"/>
      </w:pPr>
      <w:r>
        <w:rPr>
          <w:sz w:val="22"/>
        </w:rPr>
        <w:t>Risk rating</w:t>
      </w:r>
    </w:p>
    <w:p>
      <w:pPr>
        <w:pStyle w:val="ListBullet"/>
        <w:spacing w:after="40"/>
        <w:ind w:left="567"/>
      </w:pPr>
      <w:r>
        <w:rPr>
          <w:sz w:val="22"/>
        </w:rPr>
        <w:t>Remediation plan and owner</w:t>
      </w:r>
    </w:p>
    <w:p>
      <w:pPr>
        <w:pStyle w:val="ListBullet"/>
        <w:spacing w:after="40"/>
        <w:ind w:left="567"/>
      </w:pPr>
      <w:r>
        <w:rPr>
          <w:sz w:val="22"/>
        </w:rPr>
        <w:t>Target remediation date</w:t>
      </w:r>
    </w:p>
    <w:p>
      <w:pPr>
        <w:pStyle w:val="Heading3"/>
      </w:pPr>
      <w:r>
        <w:rPr>
          <w:sz w:val="22"/>
        </w:rPr>
        <w:t>9.3 Remediation Tracking</w:t>
      </w:r>
    </w:p>
    <w:p>
      <w:pPr>
        <w:spacing w:after="120"/>
      </w:pPr>
      <w:r>
        <w:rPr>
          <w:sz w:val="22"/>
        </w:rPr>
        <w:t xml:space="preserve">All identified vulnerabilities are remediated or have a documented acceptance/mitigation plan within </w:t>
      </w:r>
      <w:r>
        <w:rPr>
          <w:b/>
          <w:sz w:val="22"/>
        </w:rPr>
        <w:t>[X] days</w:t>
      </w:r>
      <w:r>
        <w:rPr>
          <w:sz w:val="22"/>
        </w:rPr>
        <w:t xml:space="preserve"> of discovery. The CIP Compliance Manager reviews open vulnerabilities at each CCB meeting.</w:t>
      </w:r>
    </w:p>
    <w:p>
      <w:pPr>
        <w:pBdr>
          <w:bottom w:val="single" w:sz="4" w:space="1" w:color="AAAAAA"/>
        </w:pBdr>
      </w:pPr>
    </w:p>
    <w:p>
      <w:pPr>
        <w:pStyle w:val="Heading2"/>
      </w:pPr>
      <w:r>
        <w:rPr>
          <w:sz w:val="22"/>
        </w:rPr>
        <w:t>10. Transient Cyber Assets and Removable Media</w:t>
      </w:r>
    </w:p>
    <w:tbl>
      <w:tblPr>
        <w:tblStyle w:val="TableGrid"/>
        <w:tblW w:type="auto" w:w="0"/>
        <w:tblLook w:firstColumn="1" w:firstRow="1" w:lastColumn="0" w:lastRow="0" w:noHBand="0" w:noVBand="1" w:val="04A0"/>
      </w:tblPr>
      <w:tblGrid>
        <w:gridCol w:w="9360"/>
      </w:tblGrid>
      <w:tr>
        <w:tc>
          <w:tcPr>
            <w:tcW w:type="dxa" w:w="9360"/>
            <w:shd w:val="clear" w:color="auto" w:fill="EBF3FB"/>
            <w:tcBorders>
              <w:top w:val="single" w:sz="4" w:color="2E75B6"/>
              <w:bottom w:val="single" w:sz="4" w:color="2E75B6"/>
              <w:left w:val="single" w:sz="18" w:color="2E75B6"/>
              <w:right w:val="single" w:sz="4" w:color="2E75B6"/>
            </w:tcBorders>
          </w:tcPr>
          <w:p>
            <w:pPr>
              <w:spacing w:before="80" w:after="80"/>
              <w:ind w:left="170"/>
            </w:pPr>
            <w:r>
              <w:rPr>
                <w:b/>
                <w:color w:val="1F497D"/>
                <w:sz w:val="20"/>
              </w:rPr>
              <w:t>NERC CIP — CIP-010 R4</w:t>
            </w:r>
            <w:r>
              <w:rPr>
                <w:sz w:val="20"/>
              </w:rPr>
              <w:t>: Plans must exist for transient cyber assets and removable media used with BES Cyber Systems. This applies to both entity-managed and third-party-managed transient assets.</w:t>
            </w:r>
          </w:p>
        </w:tc>
      </w:tr>
    </w:tbl>
    <w:p/>
    <w:p>
      <w:pPr>
        <w:pStyle w:val="Heading3"/>
      </w:pPr>
      <w:r>
        <w:rPr>
          <w:sz w:val="22"/>
        </w:rPr>
        <w:t>10.1 Entity-Managed Transient Cyber Assets</w:t>
      </w:r>
    </w:p>
    <w:p>
      <w:pPr>
        <w:pStyle w:val="ListBullet"/>
        <w:spacing w:after="40"/>
        <w:ind w:left="283"/>
      </w:pPr>
      <w:r>
        <w:rPr>
          <w:b/>
          <w:sz w:val="22"/>
        </w:rPr>
        <w:t>Authorization</w:t>
      </w:r>
      <w:r>
        <w:rPr>
          <w:sz w:val="22"/>
        </w:rPr>
        <w:t>: Only authorized personnel may connect transient cyber assets to BES Cyber Systems. A list of authorized users, authorized locations, and permitted use cases is maintained by [Owner / Role].</w:t>
      </w:r>
    </w:p>
    <w:p>
      <w:pPr>
        <w:pStyle w:val="ListBullet"/>
        <w:spacing w:after="40"/>
        <w:ind w:left="283"/>
      </w:pPr>
      <w:r>
        <w:rPr>
          <w:b/>
          <w:sz w:val="22"/>
        </w:rPr>
        <w:t>Software Vulnerability Mitigation</w:t>
      </w:r>
      <w:r>
        <w:rPr>
          <w:sz w:val="22"/>
        </w:rPr>
        <w:t>: Before connection, transient assets must have current patches applied or an approved compensating control documented.</w:t>
      </w:r>
    </w:p>
    <w:p>
      <w:pPr>
        <w:pStyle w:val="ListBullet"/>
        <w:spacing w:after="40"/>
        <w:ind w:left="283"/>
      </w:pPr>
      <w:r>
        <w:rPr>
          <w:b/>
          <w:sz w:val="22"/>
        </w:rPr>
        <w:t>Malicious Code Prevention</w:t>
      </w:r>
      <w:r>
        <w:rPr>
          <w:sz w:val="22"/>
        </w:rPr>
        <w:t xml:space="preserve">: Transient assets must have active, updated endpoint protection. Results of a scan within </w:t>
      </w:r>
      <w:r>
        <w:rPr>
          <w:b/>
          <w:sz w:val="22"/>
        </w:rPr>
        <w:t>[X] days</w:t>
      </w:r>
      <w:r>
        <w:rPr>
          <w:sz w:val="22"/>
        </w:rPr>
        <w:t xml:space="preserve"> of connection must be documented.</w:t>
      </w:r>
    </w:p>
    <w:p>
      <w:pPr>
        <w:pStyle w:val="ListBullet"/>
        <w:spacing w:after="40"/>
        <w:ind w:left="283"/>
      </w:pPr>
      <w:r>
        <w:rPr>
          <w:b/>
          <w:sz w:val="22"/>
        </w:rPr>
        <w:t>Unauthorized Use Controls</w:t>
      </w:r>
      <w:r>
        <w:rPr>
          <w:sz w:val="22"/>
        </w:rPr>
        <w:t>: Transient assets must not be connected to non-BES systems (e.g., corporate network) without documented review of associated risks.</w:t>
      </w:r>
    </w:p>
    <w:p>
      <w:pPr>
        <w:pStyle w:val="Heading3"/>
      </w:pPr>
      <w:r>
        <w:rPr>
          <w:sz w:val="22"/>
        </w:rPr>
        <w:t>10.2 Third-Party-Managed Transient Cyber Assets</w:t>
      </w:r>
    </w:p>
    <w:p>
      <w:pPr>
        <w:spacing w:after="120"/>
      </w:pPr>
      <w:r>
        <w:rPr>
          <w:sz w:val="22"/>
        </w:rPr>
        <w:t>Before a third-party transient asset is connected to a BES Cyber System:</w:t>
      </w:r>
    </w:p>
    <w:p>
      <w:pPr>
        <w:pStyle w:val="ListNumber"/>
        <w:spacing w:after="40"/>
        <w:ind w:left="283"/>
      </w:pPr>
      <w:r>
        <w:rPr>
          <w:sz w:val="22"/>
        </w:rPr>
        <w:t>Review the third party's patching and malicious code mitigation processes.</w:t>
      </w:r>
    </w:p>
    <w:p>
      <w:pPr>
        <w:pStyle w:val="ListNumber"/>
        <w:spacing w:after="40"/>
        <w:ind w:left="283"/>
      </w:pPr>
      <w:r>
        <w:rPr>
          <w:sz w:val="22"/>
        </w:rPr>
        <w:t>Document the review outcome and any additional mitigations required.</w:t>
      </w:r>
    </w:p>
    <w:p>
      <w:pPr>
        <w:pStyle w:val="ListNumber"/>
        <w:spacing w:after="40"/>
        <w:ind w:left="283"/>
      </w:pPr>
      <w:r>
        <w:rPr>
          <w:sz w:val="22"/>
        </w:rPr>
        <w:t>Obtain sign-off from the OT Engineering Lead.</w:t>
      </w:r>
    </w:p>
    <w:p>
      <w:pPr>
        <w:pStyle w:val="Heading3"/>
      </w:pPr>
      <w:r>
        <w:rPr>
          <w:sz w:val="22"/>
        </w:rPr>
        <w:t>10.3 Removable Media</w:t>
      </w:r>
    </w:p>
    <w:p>
      <w:pPr>
        <w:pStyle w:val="ListBullet"/>
        <w:spacing w:after="40"/>
        <w:ind w:left="283"/>
      </w:pPr>
      <w:r>
        <w:rPr>
          <w:sz w:val="22"/>
        </w:rPr>
        <w:t>Only organizationally authorized removable media may be used with BES Cyber Systems.</w:t>
      </w:r>
    </w:p>
    <w:p>
      <w:pPr>
        <w:pStyle w:val="ListBullet"/>
        <w:spacing w:after="40"/>
        <w:ind w:left="283"/>
      </w:pPr>
      <w:r>
        <w:rPr>
          <w:sz w:val="22"/>
        </w:rPr>
        <w:t>All removable media must be scanned for malicious code before use. Scan results are retained.</w:t>
      </w:r>
    </w:p>
    <w:p>
      <w:pPr>
        <w:pStyle w:val="ListBullet"/>
        <w:spacing w:after="40"/>
        <w:ind w:left="283"/>
      </w:pPr>
      <w:r>
        <w:rPr>
          <w:sz w:val="22"/>
        </w:rPr>
        <w:t>A log is maintained of all removable media use (who, when, which system, purpose).</w:t>
      </w:r>
    </w:p>
    <w:p>
      <w:pPr>
        <w:pBdr>
          <w:bottom w:val="single" w:sz="4" w:space="1" w:color="AAAAAA"/>
        </w:pBdr>
      </w:pPr>
    </w:p>
    <w:p>
      <w:pPr>
        <w:pStyle w:val="Heading2"/>
      </w:pPr>
      <w:r>
        <w:rPr>
          <w:sz w:val="22"/>
        </w:rPr>
        <w:t>11. BES Cyber System Information Protection</w:t>
      </w:r>
    </w:p>
    <w:tbl>
      <w:tblPr>
        <w:tblStyle w:val="TableGrid"/>
        <w:tblW w:type="auto" w:w="0"/>
        <w:tblLook w:firstColumn="1" w:firstRow="1" w:lastColumn="0" w:lastRow="0" w:noHBand="0" w:noVBand="1" w:val="04A0"/>
      </w:tblPr>
      <w:tblGrid>
        <w:gridCol w:w="9360"/>
      </w:tblGrid>
      <w:tr>
        <w:tc>
          <w:tcPr>
            <w:tcW w:type="dxa" w:w="9360"/>
            <w:shd w:val="clear" w:color="auto" w:fill="EBF3FB"/>
            <w:tcBorders>
              <w:top w:val="single" w:sz="4" w:color="2E75B6"/>
              <w:bottom w:val="single" w:sz="4" w:color="2E75B6"/>
              <w:left w:val="single" w:sz="18" w:color="2E75B6"/>
              <w:right w:val="single" w:sz="4" w:color="2E75B6"/>
            </w:tcBorders>
          </w:tcPr>
          <w:p>
            <w:pPr>
              <w:spacing w:before="80" w:after="80"/>
              <w:ind w:left="170"/>
            </w:pPr>
            <w:r>
              <w:rPr>
                <w:b/>
                <w:color w:val="1F497D"/>
                <w:sz w:val="20"/>
              </w:rPr>
              <w:t>NERC CIP — CIP-011 R1</w:t>
            </w:r>
            <w:r>
              <w:rPr>
                <w:sz w:val="20"/>
              </w:rPr>
              <w:t xml:space="preserve">: Configuration records that could enable unauthorized access to BES Cyber Systems constitute </w:t>
            </w:r>
            <w:r>
              <w:rPr>
                <w:b/>
                <w:sz w:val="20"/>
              </w:rPr>
              <w:t>BES Cyber System Information (BCSI)</w:t>
            </w:r>
            <w:r>
              <w:rPr>
                <w:sz w:val="20"/>
              </w:rPr>
              <w:t xml:space="preserve"> and must be protected under the organization's information protection program.</w:t>
            </w:r>
          </w:p>
        </w:tc>
      </w:tr>
    </w:tbl>
    <w:p/>
    <w:p>
      <w:pPr>
        <w:pStyle w:val="Heading3"/>
      </w:pPr>
      <w:r>
        <w:rPr>
          <w:sz w:val="22"/>
        </w:rPr>
        <w:t>11.1 CMDB Data as BCSI</w:t>
      </w:r>
    </w:p>
    <w:p>
      <w:pPr>
        <w:spacing w:after="120"/>
      </w:pPr>
      <w:r>
        <w:rPr>
          <w:sz w:val="22"/>
        </w:rPr>
        <w:t>The following CMDB record types are classified as BCSI:</w:t>
      </w:r>
    </w:p>
    <w:p>
      <w:pPr>
        <w:pStyle w:val="ListBullet"/>
        <w:spacing w:after="40"/>
        <w:ind w:left="283"/>
      </w:pPr>
      <w:r>
        <w:rPr>
          <w:sz w:val="22"/>
        </w:rPr>
        <w:t>Logical port and protocol configurations for BES Cyber Systems</w:t>
      </w:r>
    </w:p>
    <w:p>
      <w:pPr>
        <w:pStyle w:val="ListBullet"/>
        <w:spacing w:after="40"/>
        <w:ind w:left="283"/>
      </w:pPr>
      <w:r>
        <w:rPr>
          <w:sz w:val="22"/>
        </w:rPr>
        <w:t>Network topology records showing ESP boundaries and connectivity</w:t>
      </w:r>
    </w:p>
    <w:p>
      <w:pPr>
        <w:pStyle w:val="ListBullet"/>
        <w:spacing w:after="40"/>
        <w:ind w:left="283"/>
      </w:pPr>
      <w:r>
        <w:rPr>
          <w:sz w:val="22"/>
        </w:rPr>
        <w:t>Combined records showing asset function, location, and access paths</w:t>
      </w:r>
    </w:p>
    <w:p>
      <w:pPr>
        <w:pStyle w:val="ListBullet"/>
        <w:spacing w:after="40"/>
        <w:ind w:left="283"/>
      </w:pPr>
      <w:r>
        <w:rPr>
          <w:sz w:val="22"/>
        </w:rPr>
        <w:t>Baseline configuration records with software version and patch details</w:t>
      </w:r>
    </w:p>
    <w:p>
      <w:pPr>
        <w:pStyle w:val="Heading3"/>
      </w:pPr>
      <w:r>
        <w:rPr>
          <w:sz w:val="22"/>
        </w:rPr>
        <w:t>11.2 Access Controls</w:t>
      </w:r>
    </w:p>
    <w:p>
      <w:pPr>
        <w:pStyle w:val="ListBullet"/>
        <w:spacing w:after="40"/>
        <w:ind w:left="283"/>
      </w:pPr>
      <w:r>
        <w:rPr>
          <w:sz w:val="22"/>
        </w:rPr>
        <w:t>CMDB CI records for in-scope BES Cyber Systems are restricted to personnel with a demonstrated business need.</w:t>
      </w:r>
    </w:p>
    <w:p>
      <w:pPr>
        <w:pStyle w:val="ListBullet"/>
        <w:spacing w:after="40"/>
        <w:ind w:left="283"/>
      </w:pPr>
      <w:r>
        <w:rPr>
          <w:sz w:val="22"/>
        </w:rPr>
        <w:t>Role-based access control in ServiceNow enforces this restriction.</w:t>
      </w:r>
    </w:p>
    <w:p>
      <w:pPr>
        <w:pStyle w:val="ListBullet"/>
        <w:spacing w:after="40"/>
        <w:ind w:left="283"/>
      </w:pPr>
      <w:r>
        <w:rPr>
          <w:sz w:val="22"/>
        </w:rPr>
        <w:t>All exports of BES Cyber System CI data to external formats (Excel, PDF) are logged.</w:t>
      </w:r>
    </w:p>
    <w:p>
      <w:pPr>
        <w:pStyle w:val="Heading3"/>
      </w:pPr>
      <w:r>
        <w:rPr>
          <w:sz w:val="22"/>
        </w:rPr>
        <w:t>11.3 Disposal</w:t>
      </w:r>
    </w:p>
    <w:p>
      <w:pPr>
        <w:spacing w:after="120"/>
      </w:pPr>
      <w:r>
        <w:rPr>
          <w:sz w:val="22"/>
        </w:rPr>
        <w:t>When a BES Cyber System is decommissioned:</w:t>
      </w:r>
    </w:p>
    <w:p>
      <w:pPr>
        <w:pStyle w:val="ListNumber"/>
        <w:spacing w:after="40"/>
        <w:ind w:left="283"/>
      </w:pPr>
      <w:r>
        <w:rPr>
          <w:sz w:val="22"/>
        </w:rPr>
        <w:t>CMDB record is updated to reflect decommissioned status.</w:t>
      </w:r>
    </w:p>
    <w:p>
      <w:pPr>
        <w:pStyle w:val="ListNumber"/>
        <w:spacing w:after="40"/>
        <w:ind w:left="283"/>
      </w:pPr>
      <w:r>
        <w:rPr>
          <w:sz w:val="22"/>
        </w:rPr>
        <w:t>Electronic records containing BCSI are sanitized per the organization's information disposal procedures.</w:t>
      </w:r>
    </w:p>
    <w:p>
      <w:pPr>
        <w:pStyle w:val="ListNumber"/>
        <w:spacing w:after="40"/>
        <w:ind w:left="283"/>
      </w:pPr>
      <w:r>
        <w:rPr>
          <w:sz w:val="22"/>
        </w:rPr>
        <w:t>A record of sanitization actions is retained.</w:t>
      </w:r>
    </w:p>
    <w:p>
      <w:pPr>
        <w:pBdr>
          <w:bottom w:val="single" w:sz="4" w:space="1" w:color="AAAAAA"/>
        </w:pBdr>
      </w:pPr>
    </w:p>
    <w:p>
      <w:pPr>
        <w:pStyle w:val="Heading2"/>
      </w:pPr>
      <w:r>
        <w:rPr>
          <w:sz w:val="22"/>
        </w:rPr>
        <w:t>12. Evidence Retention</w:t>
      </w:r>
    </w:p>
    <w:tbl>
      <w:tblPr>
        <w:tblStyle w:val="TableGrid"/>
        <w:tblW w:type="auto" w:w="0"/>
        <w:tblLook w:firstColumn="1" w:firstRow="1" w:lastColumn="0" w:lastRow="0" w:noHBand="0" w:noVBand="1" w:val="04A0"/>
      </w:tblPr>
      <w:tblGrid>
        <w:gridCol w:w="9360"/>
      </w:tblGrid>
      <w:tr>
        <w:tc>
          <w:tcPr>
            <w:tcW w:type="dxa" w:w="9360"/>
            <w:shd w:val="clear" w:color="auto" w:fill="EBF3FB"/>
            <w:tcBorders>
              <w:top w:val="single" w:sz="4" w:color="2E75B6"/>
              <w:bottom w:val="single" w:sz="4" w:color="2E75B6"/>
              <w:left w:val="single" w:sz="18" w:color="2E75B6"/>
              <w:right w:val="single" w:sz="4" w:color="2E75B6"/>
            </w:tcBorders>
          </w:tcPr>
          <w:p>
            <w:pPr>
              <w:spacing w:before="80" w:after="80"/>
              <w:ind w:left="170"/>
            </w:pPr>
            <w:r>
              <w:rPr>
                <w:b/>
                <w:color w:val="1F497D"/>
                <w:sz w:val="20"/>
              </w:rPr>
              <w:t>NERC CIP — CIP-010 / CIP-011</w:t>
            </w:r>
            <w:r>
              <w:rPr>
                <w:sz w:val="20"/>
              </w:rPr>
              <w:t xml:space="preserve">: Evidence supporting compliance with CIP-010 R1–R4 and CIP-011 R1 must be retained for a minimum of </w:t>
            </w:r>
            <w:r>
              <w:rPr>
                <w:b/>
                <w:sz w:val="20"/>
              </w:rPr>
              <w:t>3 calendar years</w:t>
            </w:r>
            <w:r>
              <w:rPr>
                <w:sz w:val="20"/>
              </w:rPr>
              <w:t>.</w:t>
            </w:r>
          </w:p>
        </w:tc>
      </w:tr>
    </w:tbl>
    <w:p/>
    <w:tbl>
      <w:tblPr>
        <w:tblStyle w:val="TableGrid"/>
        <w:tblW w:type="auto" w:w="0"/>
        <w:jc w:val="left"/>
        <w:tblLook w:firstColumn="1" w:firstRow="1" w:lastColumn="0" w:lastRow="0" w:noHBand="0" w:noVBand="1" w:val="04A0"/>
      </w:tblPr>
      <w:tblGrid>
        <w:gridCol w:w="2340"/>
        <w:gridCol w:w="2340"/>
        <w:gridCol w:w="2340"/>
        <w:gridCol w:w="2340"/>
      </w:tblGrid>
      <w:tr>
        <w:tc>
          <w:tcPr>
            <w:tcW w:type="dxa" w:w="2340"/>
            <w:vAlign w:val="center"/>
            <w:shd w:val="clear" w:color="auto" w:fill="2E75B6"/>
          </w:tcPr>
          <w:p>
            <w:pPr>
              <w:spacing w:before="40" w:after="40"/>
            </w:pPr>
            <w:r>
              <w:rPr>
                <w:b/>
                <w:color w:val="FFFFFF"/>
                <w:sz w:val="20"/>
              </w:rPr>
              <w:t>Evidence Type</w:t>
            </w:r>
          </w:p>
        </w:tc>
        <w:tc>
          <w:tcPr>
            <w:tcW w:type="dxa" w:w="2340"/>
            <w:vAlign w:val="center"/>
            <w:shd w:val="clear" w:color="auto" w:fill="2E75B6"/>
          </w:tcPr>
          <w:p>
            <w:pPr>
              <w:spacing w:before="40" w:after="40"/>
            </w:pPr>
            <w:r>
              <w:rPr>
                <w:b/>
                <w:color w:val="FFFFFF"/>
                <w:sz w:val="20"/>
              </w:rPr>
              <w:t>Retention Period</w:t>
            </w:r>
          </w:p>
        </w:tc>
        <w:tc>
          <w:tcPr>
            <w:tcW w:type="dxa" w:w="2340"/>
            <w:vAlign w:val="center"/>
            <w:shd w:val="clear" w:color="auto" w:fill="2E75B6"/>
          </w:tcPr>
          <w:p>
            <w:pPr>
              <w:spacing w:before="40" w:after="40"/>
            </w:pPr>
            <w:r>
              <w:rPr>
                <w:b/>
                <w:color w:val="FFFFFF"/>
                <w:sz w:val="20"/>
              </w:rPr>
              <w:t>Storage Location</w:t>
            </w:r>
          </w:p>
        </w:tc>
        <w:tc>
          <w:tcPr>
            <w:tcW w:type="dxa" w:w="2340"/>
            <w:vAlign w:val="center"/>
            <w:shd w:val="clear" w:color="auto" w:fill="2E75B6"/>
          </w:tcPr>
          <w:p>
            <w:pPr>
              <w:spacing w:before="40" w:after="40"/>
            </w:pPr>
            <w:r>
              <w:rPr>
                <w:b/>
                <w:color w:val="FFFFFF"/>
                <w:sz w:val="20"/>
              </w:rPr>
              <w:t>Access Control</w:t>
            </w:r>
          </w:p>
        </w:tc>
      </w:tr>
      <w:tr>
        <w:tc>
          <w:tcPr>
            <w:tcW w:type="dxa" w:w="2340"/>
            <w:vAlign w:val="center"/>
          </w:tcPr>
          <w:p>
            <w:pPr>
              <w:spacing w:before="40" w:after="40"/>
            </w:pPr>
            <w:r>
              <w:rPr>
                <w:sz w:val="20"/>
              </w:rPr>
              <w:t>Change request records</w:t>
            </w:r>
          </w:p>
        </w:tc>
        <w:tc>
          <w:tcPr>
            <w:tcW w:type="dxa" w:w="2340"/>
            <w:vAlign w:val="center"/>
          </w:tcPr>
          <w:p>
            <w:pPr>
              <w:spacing w:before="40" w:after="40"/>
            </w:pPr>
            <w:r>
              <w:rPr>
                <w:sz w:val="20"/>
              </w:rPr>
              <w:t>3 years</w:t>
            </w:r>
          </w:p>
        </w:tc>
        <w:tc>
          <w:tcPr>
            <w:tcW w:type="dxa" w:w="2340"/>
            <w:vAlign w:val="center"/>
          </w:tcPr>
          <w:p>
            <w:pPr>
              <w:spacing w:before="40" w:after="40"/>
            </w:pPr>
            <w:r>
              <w:rPr>
                <w:sz w:val="20"/>
              </w:rPr>
              <w:t>ServiceNow</w:t>
            </w:r>
          </w:p>
        </w:tc>
        <w:tc>
          <w:tcPr>
            <w:tcW w:type="dxa" w:w="2340"/>
            <w:vAlign w:val="center"/>
          </w:tcPr>
          <w:p>
            <w:pPr>
              <w:spacing w:before="40" w:after="40"/>
            </w:pPr>
            <w:r>
              <w:rPr>
                <w:sz w:val="20"/>
              </w:rPr>
              <w:t>BCSI-restricted</w:t>
            </w:r>
          </w:p>
        </w:tc>
      </w:tr>
      <w:tr>
        <w:tc>
          <w:tcPr>
            <w:tcW w:type="dxa" w:w="2340"/>
            <w:vAlign w:val="center"/>
            <w:shd w:val="clear" w:color="auto" w:fill="F2F7FB"/>
          </w:tcPr>
          <w:p>
            <w:pPr>
              <w:spacing w:before="40" w:after="40"/>
            </w:pPr>
            <w:r>
              <w:rPr>
                <w:sz w:val="20"/>
              </w:rPr>
              <w:t>CCB meeting minutes</w:t>
            </w:r>
          </w:p>
        </w:tc>
        <w:tc>
          <w:tcPr>
            <w:tcW w:type="dxa" w:w="2340"/>
            <w:vAlign w:val="center"/>
            <w:shd w:val="clear" w:color="auto" w:fill="F2F7FB"/>
          </w:tcPr>
          <w:p>
            <w:pPr>
              <w:spacing w:before="40" w:after="40"/>
            </w:pPr>
            <w:r>
              <w:rPr>
                <w:sz w:val="20"/>
              </w:rPr>
              <w:t>3 years</w:t>
            </w:r>
          </w:p>
        </w:tc>
        <w:tc>
          <w:tcPr>
            <w:tcW w:type="dxa" w:w="2340"/>
            <w:vAlign w:val="center"/>
            <w:shd w:val="clear" w:color="auto" w:fill="F2F7FB"/>
          </w:tcPr>
          <w:p>
            <w:pPr>
              <w:spacing w:before="40" w:after="40"/>
            </w:pPr>
            <w:r>
              <w:rPr>
                <w:sz w:val="20"/>
              </w:rPr>
              <w:t>[Document store]</w:t>
            </w:r>
          </w:p>
        </w:tc>
        <w:tc>
          <w:tcPr>
            <w:tcW w:type="dxa" w:w="2340"/>
            <w:vAlign w:val="center"/>
            <w:shd w:val="clear" w:color="auto" w:fill="F2F7FB"/>
          </w:tcPr>
          <w:p>
            <w:pPr>
              <w:spacing w:before="40" w:after="40"/>
            </w:pPr>
            <w:r>
              <w:rPr>
                <w:sz w:val="20"/>
              </w:rPr>
              <w:t>BCSI-restricted</w:t>
            </w:r>
          </w:p>
        </w:tc>
      </w:tr>
      <w:tr>
        <w:tc>
          <w:tcPr>
            <w:tcW w:type="dxa" w:w="2340"/>
            <w:vAlign w:val="center"/>
          </w:tcPr>
          <w:p>
            <w:pPr>
              <w:spacing w:before="40" w:after="40"/>
            </w:pPr>
            <w:r>
              <w:rPr>
                <w:sz w:val="20"/>
              </w:rPr>
              <w:t>Baseline configuration records</w:t>
            </w:r>
          </w:p>
        </w:tc>
        <w:tc>
          <w:tcPr>
            <w:tcW w:type="dxa" w:w="2340"/>
            <w:vAlign w:val="center"/>
          </w:tcPr>
          <w:p>
            <w:pPr>
              <w:spacing w:before="40" w:after="40"/>
            </w:pPr>
            <w:r>
              <w:rPr>
                <w:sz w:val="20"/>
              </w:rPr>
              <w:t>3 years from decommission</w:t>
            </w:r>
          </w:p>
        </w:tc>
        <w:tc>
          <w:tcPr>
            <w:tcW w:type="dxa" w:w="2340"/>
            <w:vAlign w:val="center"/>
          </w:tcPr>
          <w:p>
            <w:pPr>
              <w:spacing w:before="40" w:after="40"/>
            </w:pPr>
            <w:r>
              <w:rPr>
                <w:sz w:val="20"/>
              </w:rPr>
              <w:t>CMDB + archive</w:t>
            </w:r>
          </w:p>
        </w:tc>
        <w:tc>
          <w:tcPr>
            <w:tcW w:type="dxa" w:w="2340"/>
            <w:vAlign w:val="center"/>
          </w:tcPr>
          <w:p>
            <w:pPr>
              <w:spacing w:before="40" w:after="40"/>
            </w:pPr>
            <w:r>
              <w:rPr>
                <w:sz w:val="20"/>
              </w:rPr>
              <w:t>BCSI-restricted</w:t>
            </w:r>
          </w:p>
        </w:tc>
      </w:tr>
      <w:tr>
        <w:tc>
          <w:tcPr>
            <w:tcW w:type="dxa" w:w="2340"/>
            <w:vAlign w:val="center"/>
            <w:shd w:val="clear" w:color="auto" w:fill="F2F7FB"/>
          </w:tcPr>
          <w:p>
            <w:pPr>
              <w:spacing w:before="40" w:after="40"/>
            </w:pPr>
            <w:r>
              <w:rPr>
                <w:sz w:val="20"/>
              </w:rPr>
              <w:t>Configuration monitoring records</w:t>
            </w:r>
          </w:p>
        </w:tc>
        <w:tc>
          <w:tcPr>
            <w:tcW w:type="dxa" w:w="2340"/>
            <w:vAlign w:val="center"/>
            <w:shd w:val="clear" w:color="auto" w:fill="F2F7FB"/>
          </w:tcPr>
          <w:p>
            <w:pPr>
              <w:spacing w:before="40" w:after="40"/>
            </w:pPr>
            <w:r>
              <w:rPr>
                <w:sz w:val="20"/>
              </w:rPr>
              <w:t>3 years</w:t>
            </w:r>
          </w:p>
        </w:tc>
        <w:tc>
          <w:tcPr>
            <w:tcW w:type="dxa" w:w="2340"/>
            <w:vAlign w:val="center"/>
            <w:shd w:val="clear" w:color="auto" w:fill="F2F7FB"/>
          </w:tcPr>
          <w:p>
            <w:pPr>
              <w:spacing w:before="40" w:after="40"/>
            </w:pPr>
            <w:r>
              <w:rPr>
                <w:sz w:val="20"/>
              </w:rPr>
              <w:t>ServiceNow / [store]</w:t>
            </w:r>
          </w:p>
        </w:tc>
        <w:tc>
          <w:tcPr>
            <w:tcW w:type="dxa" w:w="2340"/>
            <w:vAlign w:val="center"/>
            <w:shd w:val="clear" w:color="auto" w:fill="F2F7FB"/>
          </w:tcPr>
          <w:p>
            <w:pPr>
              <w:spacing w:before="40" w:after="40"/>
            </w:pPr>
            <w:r>
              <w:rPr>
                <w:sz w:val="20"/>
              </w:rPr>
              <w:t>BCSI-restricted</w:t>
            </w:r>
          </w:p>
        </w:tc>
      </w:tr>
      <w:tr>
        <w:tc>
          <w:tcPr>
            <w:tcW w:type="dxa" w:w="2340"/>
            <w:vAlign w:val="center"/>
          </w:tcPr>
          <w:p>
            <w:pPr>
              <w:spacing w:before="40" w:after="40"/>
            </w:pPr>
            <w:r>
              <w:rPr>
                <w:sz w:val="20"/>
              </w:rPr>
              <w:t>Vulnerability assessment reports</w:t>
            </w:r>
          </w:p>
        </w:tc>
        <w:tc>
          <w:tcPr>
            <w:tcW w:type="dxa" w:w="2340"/>
            <w:vAlign w:val="center"/>
          </w:tcPr>
          <w:p>
            <w:pPr>
              <w:spacing w:before="40" w:after="40"/>
            </w:pPr>
            <w:r>
              <w:rPr>
                <w:sz w:val="20"/>
              </w:rPr>
              <w:t>3 years</w:t>
            </w:r>
          </w:p>
        </w:tc>
        <w:tc>
          <w:tcPr>
            <w:tcW w:type="dxa" w:w="2340"/>
            <w:vAlign w:val="center"/>
          </w:tcPr>
          <w:p>
            <w:pPr>
              <w:spacing w:before="40" w:after="40"/>
            </w:pPr>
            <w:r>
              <w:rPr>
                <w:sz w:val="20"/>
              </w:rPr>
              <w:t>[Document store]</w:t>
            </w:r>
          </w:p>
        </w:tc>
        <w:tc>
          <w:tcPr>
            <w:tcW w:type="dxa" w:w="2340"/>
            <w:vAlign w:val="center"/>
          </w:tcPr>
          <w:p>
            <w:pPr>
              <w:spacing w:before="40" w:after="40"/>
            </w:pPr>
            <w:r>
              <w:rPr>
                <w:sz w:val="20"/>
              </w:rPr>
              <w:t>BCSI-restricted</w:t>
            </w:r>
          </w:p>
        </w:tc>
      </w:tr>
      <w:tr>
        <w:tc>
          <w:tcPr>
            <w:tcW w:type="dxa" w:w="2340"/>
            <w:vAlign w:val="center"/>
            <w:shd w:val="clear" w:color="auto" w:fill="F2F7FB"/>
          </w:tcPr>
          <w:p>
            <w:pPr>
              <w:spacing w:before="40" w:after="40"/>
            </w:pPr>
            <w:r>
              <w:rPr>
                <w:sz w:val="20"/>
              </w:rPr>
              <w:t>Post-change verification reports</w:t>
            </w:r>
          </w:p>
        </w:tc>
        <w:tc>
          <w:tcPr>
            <w:tcW w:type="dxa" w:w="2340"/>
            <w:vAlign w:val="center"/>
            <w:shd w:val="clear" w:color="auto" w:fill="F2F7FB"/>
          </w:tcPr>
          <w:p>
            <w:pPr>
              <w:spacing w:before="40" w:after="40"/>
            </w:pPr>
            <w:r>
              <w:rPr>
                <w:sz w:val="20"/>
              </w:rPr>
              <w:t>3 years</w:t>
            </w:r>
          </w:p>
        </w:tc>
        <w:tc>
          <w:tcPr>
            <w:tcW w:type="dxa" w:w="2340"/>
            <w:vAlign w:val="center"/>
            <w:shd w:val="clear" w:color="auto" w:fill="F2F7FB"/>
          </w:tcPr>
          <w:p>
            <w:pPr>
              <w:spacing w:before="40" w:after="40"/>
            </w:pPr>
            <w:r>
              <w:rPr>
                <w:sz w:val="20"/>
              </w:rPr>
              <w:t>ServiceNow</w:t>
            </w:r>
          </w:p>
        </w:tc>
        <w:tc>
          <w:tcPr>
            <w:tcW w:type="dxa" w:w="2340"/>
            <w:vAlign w:val="center"/>
            <w:shd w:val="clear" w:color="auto" w:fill="F2F7FB"/>
          </w:tcPr>
          <w:p>
            <w:pPr>
              <w:spacing w:before="40" w:after="40"/>
            </w:pPr>
            <w:r>
              <w:rPr>
                <w:sz w:val="20"/>
              </w:rPr>
              <w:t>BCSI-restricted</w:t>
            </w:r>
          </w:p>
        </w:tc>
      </w:tr>
      <w:tr>
        <w:tc>
          <w:tcPr>
            <w:tcW w:type="dxa" w:w="2340"/>
            <w:vAlign w:val="center"/>
          </w:tcPr>
          <w:p>
            <w:pPr>
              <w:spacing w:before="40" w:after="40"/>
            </w:pPr>
            <w:r>
              <w:rPr>
                <w:sz w:val="20"/>
              </w:rPr>
              <w:t>Transient asset / removable media logs</w:t>
            </w:r>
          </w:p>
        </w:tc>
        <w:tc>
          <w:tcPr>
            <w:tcW w:type="dxa" w:w="2340"/>
            <w:vAlign w:val="center"/>
          </w:tcPr>
          <w:p>
            <w:pPr>
              <w:spacing w:before="40" w:after="40"/>
            </w:pPr>
            <w:r>
              <w:rPr>
                <w:sz w:val="20"/>
              </w:rPr>
              <w:t>3 years</w:t>
            </w:r>
          </w:p>
        </w:tc>
        <w:tc>
          <w:tcPr>
            <w:tcW w:type="dxa" w:w="2340"/>
            <w:vAlign w:val="center"/>
          </w:tcPr>
          <w:p>
            <w:pPr>
              <w:spacing w:before="40" w:after="40"/>
            </w:pPr>
            <w:r>
              <w:rPr>
                <w:sz w:val="20"/>
              </w:rPr>
              <w:t>[Document store]</w:t>
            </w:r>
          </w:p>
        </w:tc>
        <w:tc>
          <w:tcPr>
            <w:tcW w:type="dxa" w:w="2340"/>
            <w:vAlign w:val="center"/>
          </w:tcPr>
          <w:p>
            <w:pPr>
              <w:spacing w:before="40" w:after="40"/>
            </w:pPr>
            <w:r>
              <w:rPr>
                <w:sz w:val="20"/>
              </w:rPr>
              <w:t>BCSI-restricted</w:t>
            </w:r>
          </w:p>
        </w:tc>
      </w:tr>
    </w:tbl>
    <w:p/>
    <w:p>
      <w:pPr>
        <w:spacing w:after="120"/>
      </w:pPr>
      <w:r>
        <w:rPr>
          <w:sz w:val="22"/>
        </w:rPr>
        <w:t xml:space="preserve">Evidence is organized and retrievable by CIP standard and requirement part to support audit production within </w:t>
      </w:r>
      <w:r>
        <w:rPr>
          <w:b/>
          <w:sz w:val="22"/>
        </w:rPr>
        <w:t>[X business days]</w:t>
      </w:r>
      <w:r>
        <w:rPr>
          <w:sz w:val="22"/>
        </w:rPr>
        <w:t xml:space="preserve"> of an audit request.</w:t>
      </w:r>
    </w:p>
    <w:p>
      <w:pPr>
        <w:pBdr>
          <w:bottom w:val="single" w:sz="4" w:space="1" w:color="AAAAAA"/>
        </w:pBdr>
      </w:pPr>
    </w:p>
    <w:p>
      <w:pPr>
        <w:pStyle w:val="Heading2"/>
      </w:pPr>
      <w:r>
        <w:rPr>
          <w:sz w:val="22"/>
        </w:rPr>
        <w:t>13. Document Control</w:t>
      </w:r>
    </w:p>
    <w:p>
      <w:pPr>
        <w:pStyle w:val="Heading3"/>
      </w:pPr>
      <w:r>
        <w:rPr>
          <w:sz w:val="22"/>
        </w:rPr>
        <w:t>13.1 Review Cycle</w:t>
      </w:r>
    </w:p>
    <w:p>
      <w:pPr>
        <w:spacing w:after="120"/>
      </w:pPr>
      <w:r>
        <w:rPr>
          <w:sz w:val="22"/>
        </w:rPr>
        <w:t>This CMP is reviewed and updated:</w:t>
      </w:r>
    </w:p>
    <w:p>
      <w:pPr>
        <w:pStyle w:val="ListBullet"/>
        <w:spacing w:after="40"/>
        <w:ind w:left="283"/>
      </w:pPr>
      <w:r>
        <w:rPr>
          <w:sz w:val="22"/>
        </w:rPr>
        <w:t xml:space="preserve">At least </w:t>
      </w:r>
      <w:r>
        <w:rPr>
          <w:b/>
          <w:sz w:val="22"/>
        </w:rPr>
        <w:t>annually</w:t>
      </w:r>
    </w:p>
    <w:p>
      <w:pPr>
        <w:pStyle w:val="ListBullet"/>
        <w:spacing w:after="40"/>
        <w:ind w:left="283"/>
      </w:pPr>
      <w:r>
        <w:rPr>
          <w:sz w:val="22"/>
        </w:rPr>
        <w:t>When the CIP-002 in-scope system inventory changes</w:t>
      </w:r>
    </w:p>
    <w:p>
      <w:pPr>
        <w:pStyle w:val="ListBullet"/>
        <w:spacing w:after="40"/>
        <w:ind w:left="283"/>
      </w:pPr>
      <w:r>
        <w:rPr>
          <w:sz w:val="22"/>
        </w:rPr>
        <w:t>When NERC revises CIP-010 or CIP-011 requirements</w:t>
      </w:r>
    </w:p>
    <w:p>
      <w:pPr>
        <w:pStyle w:val="ListBullet"/>
        <w:spacing w:after="40"/>
        <w:ind w:left="283"/>
      </w:pPr>
      <w:r>
        <w:rPr>
          <w:sz w:val="22"/>
        </w:rPr>
        <w:t>Following a NERC audit finding related to configuration management</w:t>
      </w:r>
    </w:p>
    <w:p>
      <w:pPr>
        <w:pStyle w:val="Heading3"/>
      </w:pPr>
      <w:r>
        <w:rPr>
          <w:sz w:val="22"/>
        </w:rPr>
        <w:t>13.2 Approval</w:t>
      </w:r>
    </w:p>
    <w:p>
      <w:pPr>
        <w:spacing w:after="120"/>
      </w:pPr>
      <w:r>
        <w:rPr>
          <w:sz w:val="22"/>
        </w:rPr>
        <w:t>Changes to this document require approval from the CIP Compliance Manager and, for significant scope or process changes, the CCB Chair.</w:t>
      </w:r>
    </w:p>
    <w:p>
      <w:pPr>
        <w:pStyle w:val="Heading3"/>
      </w:pPr>
      <w:r>
        <w:rPr>
          <w:sz w:val="22"/>
        </w:rPr>
        <w:t>13.3 Distribution</w:t>
      </w:r>
    </w:p>
    <w:p>
      <w:pPr>
        <w:spacing w:after="120"/>
      </w:pPr>
      <w:r>
        <w:rPr>
          <w:sz w:val="22"/>
        </w:rPr>
        <w:t>This document is classified as BCSI and is distributed only to personnel with a demonstrated need under Section 11.2 access controls.</w:t>
      </w:r>
    </w:p>
    <w:p>
      <w:pPr>
        <w:pBdr>
          <w:bottom w:val="single" w:sz="4" w:space="1" w:color="AAAAAA"/>
        </w:pBdr>
      </w:pPr>
    </w:p>
    <w:p>
      <w:pPr>
        <w:pStyle w:val="Heading2"/>
      </w:pPr>
      <w:r>
        <w:rPr>
          <w:sz w:val="22"/>
        </w:rPr>
        <w:t>Appendix A: NERC CIP Requirement Traceability Matrix</w:t>
      </w:r>
    </w:p>
    <w:tbl>
      <w:tblPr>
        <w:tblStyle w:val="TableGrid"/>
        <w:tblW w:type="auto" w:w="0"/>
        <w:jc w:val="left"/>
        <w:tblLook w:firstColumn="1" w:firstRow="1" w:lastColumn="0" w:lastRow="0" w:noHBand="0" w:noVBand="1" w:val="04A0"/>
      </w:tblPr>
      <w:tblGrid>
        <w:gridCol w:w="3120"/>
        <w:gridCol w:w="3120"/>
        <w:gridCol w:w="3120"/>
      </w:tblGrid>
      <w:tr>
        <w:tc>
          <w:tcPr>
            <w:tcW w:type="dxa" w:w="3120"/>
            <w:vAlign w:val="center"/>
            <w:shd w:val="clear" w:color="auto" w:fill="2E75B6"/>
          </w:tcPr>
          <w:p>
            <w:pPr>
              <w:spacing w:before="40" w:after="40"/>
            </w:pPr>
            <w:r>
              <w:rPr>
                <w:b/>
                <w:color w:val="FFFFFF"/>
                <w:sz w:val="20"/>
              </w:rPr>
              <w:t>CIP Requirement</w:t>
            </w:r>
          </w:p>
        </w:tc>
        <w:tc>
          <w:tcPr>
            <w:tcW w:type="dxa" w:w="3120"/>
            <w:vAlign w:val="center"/>
            <w:shd w:val="clear" w:color="auto" w:fill="2E75B6"/>
          </w:tcPr>
          <w:p>
            <w:pPr>
              <w:spacing w:before="40" w:after="40"/>
            </w:pPr>
            <w:r>
              <w:rPr>
                <w:b/>
                <w:color w:val="FFFFFF"/>
                <w:sz w:val="20"/>
              </w:rPr>
              <w:t>CMP Section</w:t>
            </w:r>
          </w:p>
        </w:tc>
        <w:tc>
          <w:tcPr>
            <w:tcW w:type="dxa" w:w="3120"/>
            <w:vAlign w:val="center"/>
            <w:shd w:val="clear" w:color="auto" w:fill="2E75B6"/>
          </w:tcPr>
          <w:p>
            <w:pPr>
              <w:spacing w:before="40" w:after="40"/>
            </w:pPr>
            <w:r>
              <w:rPr>
                <w:b/>
                <w:color w:val="FFFFFF"/>
                <w:sz w:val="20"/>
              </w:rPr>
              <w:t>Description</w:t>
            </w:r>
          </w:p>
        </w:tc>
      </w:tr>
      <w:tr>
        <w:tc>
          <w:tcPr>
            <w:tcW w:type="dxa" w:w="3120"/>
            <w:vAlign w:val="center"/>
          </w:tcPr>
          <w:p>
            <w:pPr>
              <w:spacing w:before="40" w:after="40"/>
            </w:pPr>
            <w:r>
              <w:rPr>
                <w:sz w:val="20"/>
              </w:rPr>
              <w:t>CIP-002 (scope)</w:t>
            </w:r>
          </w:p>
        </w:tc>
        <w:tc>
          <w:tcPr>
            <w:tcW w:type="dxa" w:w="3120"/>
            <w:vAlign w:val="center"/>
          </w:tcPr>
          <w:p>
            <w:pPr>
              <w:spacing w:before="40" w:after="40"/>
            </w:pPr>
            <w:r>
              <w:rPr>
                <w:sz w:val="20"/>
              </w:rPr>
              <w:t>§1.2</w:t>
            </w:r>
          </w:p>
        </w:tc>
        <w:tc>
          <w:tcPr>
            <w:tcW w:type="dxa" w:w="3120"/>
            <w:vAlign w:val="center"/>
          </w:tcPr>
          <w:p>
            <w:pPr>
              <w:spacing w:before="40" w:after="40"/>
            </w:pPr>
            <w:r>
              <w:rPr>
                <w:sz w:val="20"/>
              </w:rPr>
              <w:t>In-scope system inventory; 15-month review</w:t>
            </w:r>
          </w:p>
        </w:tc>
      </w:tr>
      <w:tr>
        <w:tc>
          <w:tcPr>
            <w:tcW w:type="dxa" w:w="3120"/>
            <w:vAlign w:val="center"/>
            <w:shd w:val="clear" w:color="auto" w:fill="F2F7FB"/>
          </w:tcPr>
          <w:p>
            <w:pPr>
              <w:spacing w:before="40" w:after="40"/>
            </w:pPr>
            <w:r>
              <w:rPr>
                <w:sz w:val="20"/>
              </w:rPr>
              <w:t>CIP-010 R1.1</w:t>
            </w:r>
          </w:p>
        </w:tc>
        <w:tc>
          <w:tcPr>
            <w:tcW w:type="dxa" w:w="3120"/>
            <w:vAlign w:val="center"/>
            <w:shd w:val="clear" w:color="auto" w:fill="F2F7FB"/>
          </w:tcPr>
          <w:p>
            <w:pPr>
              <w:spacing w:before="40" w:after="40"/>
            </w:pPr>
            <w:r>
              <w:rPr>
                <w:sz w:val="20"/>
              </w:rPr>
              <w:t>§3</w:t>
            </w:r>
          </w:p>
        </w:tc>
        <w:tc>
          <w:tcPr>
            <w:tcW w:type="dxa" w:w="3120"/>
            <w:vAlign w:val="center"/>
            <w:shd w:val="clear" w:color="auto" w:fill="F2F7FB"/>
          </w:tcPr>
          <w:p>
            <w:pPr>
              <w:spacing w:before="40" w:after="40"/>
            </w:pPr>
            <w:r>
              <w:rPr>
                <w:sz w:val="20"/>
              </w:rPr>
              <w:t>Baseline configuration components</w:t>
            </w:r>
          </w:p>
        </w:tc>
      </w:tr>
      <w:tr>
        <w:tc>
          <w:tcPr>
            <w:tcW w:type="dxa" w:w="3120"/>
            <w:vAlign w:val="center"/>
          </w:tcPr>
          <w:p>
            <w:pPr>
              <w:spacing w:before="40" w:after="40"/>
            </w:pPr>
            <w:r>
              <w:rPr>
                <w:sz w:val="20"/>
              </w:rPr>
              <w:t>CIP-010 R1.2</w:t>
            </w:r>
          </w:p>
        </w:tc>
        <w:tc>
          <w:tcPr>
            <w:tcW w:type="dxa" w:w="3120"/>
            <w:vAlign w:val="center"/>
          </w:tcPr>
          <w:p>
            <w:pPr>
              <w:spacing w:before="40" w:after="40"/>
            </w:pPr>
            <w:r>
              <w:rPr>
                <w:sz w:val="20"/>
              </w:rPr>
              <w:t>§4</w:t>
            </w:r>
          </w:p>
        </w:tc>
        <w:tc>
          <w:tcPr>
            <w:tcW w:type="dxa" w:w="3120"/>
            <w:vAlign w:val="center"/>
          </w:tcPr>
          <w:p>
            <w:pPr>
              <w:spacing w:before="40" w:after="40"/>
            </w:pPr>
            <w:r>
              <w:rPr>
                <w:sz w:val="20"/>
              </w:rPr>
              <w:t>Change authorization process</w:t>
            </w:r>
          </w:p>
        </w:tc>
      </w:tr>
      <w:tr>
        <w:tc>
          <w:tcPr>
            <w:tcW w:type="dxa" w:w="3120"/>
            <w:vAlign w:val="center"/>
            <w:shd w:val="clear" w:color="auto" w:fill="F2F7FB"/>
          </w:tcPr>
          <w:p>
            <w:pPr>
              <w:spacing w:before="40" w:after="40"/>
            </w:pPr>
            <w:r>
              <w:rPr>
                <w:sz w:val="20"/>
              </w:rPr>
              <w:t>CIP-010 R1.3</w:t>
            </w:r>
          </w:p>
        </w:tc>
        <w:tc>
          <w:tcPr>
            <w:tcW w:type="dxa" w:w="3120"/>
            <w:vAlign w:val="center"/>
            <w:shd w:val="clear" w:color="auto" w:fill="F2F7FB"/>
          </w:tcPr>
          <w:p>
            <w:pPr>
              <w:spacing w:before="40" w:after="40"/>
            </w:pPr>
            <w:r>
              <w:rPr>
                <w:sz w:val="20"/>
              </w:rPr>
              <w:t>§5</w:t>
            </w:r>
          </w:p>
        </w:tc>
        <w:tc>
          <w:tcPr>
            <w:tcW w:type="dxa" w:w="3120"/>
            <w:vAlign w:val="center"/>
            <w:shd w:val="clear" w:color="auto" w:fill="F2F7FB"/>
          </w:tcPr>
          <w:p>
            <w:pPr>
              <w:spacing w:before="40" w:after="40"/>
            </w:pPr>
            <w:r>
              <w:rPr>
                <w:sz w:val="20"/>
              </w:rPr>
              <w:t>Change documentation standards</w:t>
            </w:r>
          </w:p>
        </w:tc>
      </w:tr>
      <w:tr>
        <w:tc>
          <w:tcPr>
            <w:tcW w:type="dxa" w:w="3120"/>
            <w:vAlign w:val="center"/>
          </w:tcPr>
          <w:p>
            <w:pPr>
              <w:spacing w:before="40" w:after="40"/>
            </w:pPr>
            <w:r>
              <w:rPr>
                <w:sz w:val="20"/>
              </w:rPr>
              <w:t>CIP-010 R1.4</w:t>
            </w:r>
          </w:p>
        </w:tc>
        <w:tc>
          <w:tcPr>
            <w:tcW w:type="dxa" w:w="3120"/>
            <w:vAlign w:val="center"/>
          </w:tcPr>
          <w:p>
            <w:pPr>
              <w:spacing w:before="40" w:after="40"/>
            </w:pPr>
            <w:r>
              <w:rPr>
                <w:sz w:val="20"/>
              </w:rPr>
              <w:t>§6</w:t>
            </w:r>
          </w:p>
        </w:tc>
        <w:tc>
          <w:tcPr>
            <w:tcW w:type="dxa" w:w="3120"/>
            <w:vAlign w:val="center"/>
          </w:tcPr>
          <w:p>
            <w:pPr>
              <w:spacing w:before="40" w:after="40"/>
            </w:pPr>
            <w:r>
              <w:rPr>
                <w:sz w:val="20"/>
              </w:rPr>
              <w:t>Control impact assessment</w:t>
            </w:r>
          </w:p>
        </w:tc>
      </w:tr>
      <w:tr>
        <w:tc>
          <w:tcPr>
            <w:tcW w:type="dxa" w:w="3120"/>
            <w:vAlign w:val="center"/>
            <w:shd w:val="clear" w:color="auto" w:fill="F2F7FB"/>
          </w:tcPr>
          <w:p>
            <w:pPr>
              <w:spacing w:before="40" w:after="40"/>
            </w:pPr>
            <w:r>
              <w:rPr>
                <w:sz w:val="20"/>
              </w:rPr>
              <w:t>CIP-010 R1.5</w:t>
            </w:r>
          </w:p>
        </w:tc>
        <w:tc>
          <w:tcPr>
            <w:tcW w:type="dxa" w:w="3120"/>
            <w:vAlign w:val="center"/>
            <w:shd w:val="clear" w:color="auto" w:fill="F2F7FB"/>
          </w:tcPr>
          <w:p>
            <w:pPr>
              <w:spacing w:before="40" w:after="40"/>
            </w:pPr>
            <w:r>
              <w:rPr>
                <w:sz w:val="20"/>
              </w:rPr>
              <w:t>§4.4</w:t>
            </w:r>
          </w:p>
        </w:tc>
        <w:tc>
          <w:tcPr>
            <w:tcW w:type="dxa" w:w="3120"/>
            <w:vAlign w:val="center"/>
            <w:shd w:val="clear" w:color="auto" w:fill="F2F7FB"/>
          </w:tcPr>
          <w:p>
            <w:pPr>
              <w:spacing w:before="40" w:after="40"/>
            </w:pPr>
            <w:r>
              <w:rPr>
                <w:sz w:val="20"/>
              </w:rPr>
              <w:t>Emergency change process</w:t>
            </w:r>
          </w:p>
        </w:tc>
      </w:tr>
      <w:tr>
        <w:tc>
          <w:tcPr>
            <w:tcW w:type="dxa" w:w="3120"/>
            <w:vAlign w:val="center"/>
          </w:tcPr>
          <w:p>
            <w:pPr>
              <w:spacing w:before="40" w:after="40"/>
            </w:pPr>
            <w:r>
              <w:rPr>
                <w:sz w:val="20"/>
              </w:rPr>
              <w:t>CIP-010 R2</w:t>
            </w:r>
          </w:p>
        </w:tc>
        <w:tc>
          <w:tcPr>
            <w:tcW w:type="dxa" w:w="3120"/>
            <w:vAlign w:val="center"/>
          </w:tcPr>
          <w:p>
            <w:pPr>
              <w:spacing w:before="40" w:after="40"/>
            </w:pPr>
            <w:r>
              <w:rPr>
                <w:sz w:val="20"/>
              </w:rPr>
              <w:t>§8</w:t>
            </w:r>
          </w:p>
        </w:tc>
        <w:tc>
          <w:tcPr>
            <w:tcW w:type="dxa" w:w="3120"/>
            <w:vAlign w:val="center"/>
          </w:tcPr>
          <w:p>
            <w:pPr>
              <w:spacing w:before="40" w:after="40"/>
            </w:pPr>
            <w:r>
              <w:rPr>
                <w:sz w:val="20"/>
              </w:rPr>
              <w:t>Configuration monitoring (35-day)</w:t>
            </w:r>
          </w:p>
        </w:tc>
      </w:tr>
      <w:tr>
        <w:tc>
          <w:tcPr>
            <w:tcW w:type="dxa" w:w="3120"/>
            <w:vAlign w:val="center"/>
            <w:shd w:val="clear" w:color="auto" w:fill="F2F7FB"/>
          </w:tcPr>
          <w:p>
            <w:pPr>
              <w:spacing w:before="40" w:after="40"/>
            </w:pPr>
            <w:r>
              <w:rPr>
                <w:sz w:val="20"/>
              </w:rPr>
              <w:t>CIP-010 R3</w:t>
            </w:r>
          </w:p>
        </w:tc>
        <w:tc>
          <w:tcPr>
            <w:tcW w:type="dxa" w:w="3120"/>
            <w:vAlign w:val="center"/>
            <w:shd w:val="clear" w:color="auto" w:fill="F2F7FB"/>
          </w:tcPr>
          <w:p>
            <w:pPr>
              <w:spacing w:before="40" w:after="40"/>
            </w:pPr>
            <w:r>
              <w:rPr>
                <w:sz w:val="20"/>
              </w:rPr>
              <w:t>§9</w:t>
            </w:r>
          </w:p>
        </w:tc>
        <w:tc>
          <w:tcPr>
            <w:tcW w:type="dxa" w:w="3120"/>
            <w:vAlign w:val="center"/>
            <w:shd w:val="clear" w:color="auto" w:fill="F2F7FB"/>
          </w:tcPr>
          <w:p>
            <w:pPr>
              <w:spacing w:before="40" w:after="40"/>
            </w:pPr>
            <w:r>
              <w:rPr>
                <w:sz w:val="20"/>
              </w:rPr>
              <w:t>Vulnerability assessments</w:t>
            </w:r>
          </w:p>
        </w:tc>
      </w:tr>
      <w:tr>
        <w:tc>
          <w:tcPr>
            <w:tcW w:type="dxa" w:w="3120"/>
            <w:vAlign w:val="center"/>
          </w:tcPr>
          <w:p>
            <w:pPr>
              <w:spacing w:before="40" w:after="40"/>
            </w:pPr>
            <w:r>
              <w:rPr>
                <w:sz w:val="20"/>
              </w:rPr>
              <w:t>CIP-010 R4</w:t>
            </w:r>
          </w:p>
        </w:tc>
        <w:tc>
          <w:tcPr>
            <w:tcW w:type="dxa" w:w="3120"/>
            <w:vAlign w:val="center"/>
          </w:tcPr>
          <w:p>
            <w:pPr>
              <w:spacing w:before="40" w:after="40"/>
            </w:pPr>
            <w:r>
              <w:rPr>
                <w:sz w:val="20"/>
              </w:rPr>
              <w:t>§10</w:t>
            </w:r>
          </w:p>
        </w:tc>
        <w:tc>
          <w:tcPr>
            <w:tcW w:type="dxa" w:w="3120"/>
            <w:vAlign w:val="center"/>
          </w:tcPr>
          <w:p>
            <w:pPr>
              <w:spacing w:before="40" w:after="40"/>
            </w:pPr>
            <w:r>
              <w:rPr>
                <w:sz w:val="20"/>
              </w:rPr>
              <w:t>Transient cyber assets and removable media</w:t>
            </w:r>
          </w:p>
        </w:tc>
      </w:tr>
      <w:tr>
        <w:tc>
          <w:tcPr>
            <w:tcW w:type="dxa" w:w="3120"/>
            <w:vAlign w:val="center"/>
            <w:shd w:val="clear" w:color="auto" w:fill="F2F7FB"/>
          </w:tcPr>
          <w:p>
            <w:pPr>
              <w:spacing w:before="40" w:after="40"/>
            </w:pPr>
            <w:r>
              <w:rPr>
                <w:sz w:val="20"/>
              </w:rPr>
              <w:t>CIP-011 R1</w:t>
            </w:r>
          </w:p>
        </w:tc>
        <w:tc>
          <w:tcPr>
            <w:tcW w:type="dxa" w:w="3120"/>
            <w:vAlign w:val="center"/>
            <w:shd w:val="clear" w:color="auto" w:fill="F2F7FB"/>
          </w:tcPr>
          <w:p>
            <w:pPr>
              <w:spacing w:before="40" w:after="40"/>
            </w:pPr>
            <w:r>
              <w:rPr>
                <w:sz w:val="20"/>
              </w:rPr>
              <w:t>§11</w:t>
            </w:r>
          </w:p>
        </w:tc>
        <w:tc>
          <w:tcPr>
            <w:tcW w:type="dxa" w:w="3120"/>
            <w:vAlign w:val="center"/>
            <w:shd w:val="clear" w:color="auto" w:fill="F2F7FB"/>
          </w:tcPr>
          <w:p>
            <w:pPr>
              <w:spacing w:before="40" w:after="40"/>
            </w:pPr>
            <w:r>
              <w:rPr>
                <w:sz w:val="20"/>
              </w:rPr>
              <w:t>BCSI identification and protection</w:t>
            </w:r>
          </w:p>
        </w:tc>
      </w:tr>
      <w:tr>
        <w:tc>
          <w:tcPr>
            <w:tcW w:type="dxa" w:w="3120"/>
            <w:vAlign w:val="center"/>
          </w:tcPr>
          <w:p>
            <w:pPr>
              <w:spacing w:before="40" w:after="40"/>
            </w:pPr>
            <w:r>
              <w:rPr>
                <w:sz w:val="20"/>
              </w:rPr>
              <w:t>Evidence retention</w:t>
            </w:r>
          </w:p>
        </w:tc>
        <w:tc>
          <w:tcPr>
            <w:tcW w:type="dxa" w:w="3120"/>
            <w:vAlign w:val="center"/>
          </w:tcPr>
          <w:p>
            <w:pPr>
              <w:spacing w:before="40" w:after="40"/>
            </w:pPr>
            <w:r>
              <w:rPr>
                <w:sz w:val="20"/>
              </w:rPr>
              <w:t>§12</w:t>
            </w:r>
          </w:p>
        </w:tc>
        <w:tc>
          <w:tcPr>
            <w:tcW w:type="dxa" w:w="3120"/>
            <w:vAlign w:val="center"/>
          </w:tcPr>
          <w:p>
            <w:pPr>
              <w:spacing w:before="40" w:after="40"/>
            </w:pPr>
            <w:r>
              <w:rPr>
                <w:sz w:val="20"/>
              </w:rPr>
              <w:t>3-year retention requirement</w:t>
            </w:r>
          </w:p>
        </w:tc>
      </w:tr>
    </w:tbl>
    <w:p/>
    <w:p>
      <w:pPr>
        <w:pBdr>
          <w:bottom w:val="single" w:sz="4" w:space="1" w:color="AAAAAA"/>
        </w:pBdr>
      </w:pPr>
    </w:p>
    <w:p>
      <w:pPr>
        <w:pStyle w:val="Heading2"/>
      </w:pPr>
      <w:r>
        <w:rPr>
          <w:sz w:val="22"/>
        </w:rPr>
        <w:t>Appendix B: Related Documents</w:t>
      </w:r>
    </w:p>
    <w:p>
      <w:pPr>
        <w:pStyle w:val="ListBullet"/>
        <w:spacing w:after="40"/>
        <w:ind w:left="283"/>
      </w:pPr>
      <w:r>
        <w:rPr>
          <w:sz w:val="22"/>
        </w:rPr>
        <w:t>Configuration Control Board Charter (CCB-[ORG]-001)</w:t>
      </w:r>
    </w:p>
    <w:p>
      <w:pPr>
        <w:pStyle w:val="ListBullet"/>
        <w:spacing w:after="40"/>
        <w:ind w:left="283"/>
      </w:pPr>
      <w:r>
        <w:rPr>
          <w:sz w:val="22"/>
        </w:rPr>
        <w:t>CIP-002 Asset Inventory</w:t>
      </w:r>
    </w:p>
    <w:p>
      <w:pPr>
        <w:pStyle w:val="ListBullet"/>
        <w:spacing w:after="40"/>
        <w:ind w:left="283"/>
      </w:pPr>
      <w:r>
        <w:rPr>
          <w:sz w:val="22"/>
        </w:rPr>
        <w:t>CIP-005 Electronic Security Perimeter documentation</w:t>
      </w:r>
    </w:p>
    <w:p>
      <w:pPr>
        <w:pStyle w:val="ListBullet"/>
        <w:spacing w:after="40"/>
        <w:ind w:left="283"/>
      </w:pPr>
      <w:r>
        <w:rPr>
          <w:sz w:val="22"/>
        </w:rPr>
        <w:t>CIP-007 System Security Management procedures</w:t>
      </w:r>
    </w:p>
    <w:p>
      <w:pPr>
        <w:pStyle w:val="ListBullet"/>
        <w:spacing w:after="40"/>
        <w:ind w:left="283"/>
      </w:pPr>
      <w:r>
        <w:rPr>
          <w:sz w:val="22"/>
        </w:rPr>
        <w:t>CIP-011 Information Protection Program</w:t>
      </w:r>
    </w:p>
    <w:p>
      <w:pPr>
        <w:pStyle w:val="ListBullet"/>
        <w:spacing w:after="40"/>
        <w:ind w:left="283"/>
      </w:pPr>
      <w:r>
        <w:rPr>
          <w:sz w:val="22"/>
        </w:rPr>
        <w:t>ServiceNow CMDB CI baseline fields reference</w:t>
      </w:r>
    </w:p>
    <w:sectPr w:rsidR="00FC693F" w:rsidRPr="0006063C" w:rsidSect="00034616">
      <w:pgSz w:w="12240" w:h="15840"/>
      <w:pgMar w:top="1417" w:right="1440" w:bottom="1417"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1F497D"/>
      <w:sz w:val="36"/>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Theme="majorHAnsi" w:eastAsiaTheme="majorEastAsia" w:hAnsiTheme="majorHAnsi" w:cstheme="majorBidi" w:ascii="Calibri" w:hAnsi="Calibri"/>
      <w:b/>
      <w:bCs/>
      <w:color w:val="2E75B6"/>
      <w:sz w:val="28"/>
      <w:szCs w:val="26"/>
    </w:rPr>
  </w:style>
  <w:style w:type="paragraph" w:styleId="Heading3">
    <w:name w:val="heading 3"/>
    <w:basedOn w:val="Normal"/>
    <w:next w:val="Normal"/>
    <w:link w:val="Heading3Char"/>
    <w:uiPriority w:val="9"/>
    <w:unhideWhenUsed/>
    <w:qFormat/>
    <w:rsid w:val="00FC693F"/>
    <w:pPr>
      <w:keepNext/>
      <w:keepLines/>
      <w:spacing w:before="200" w:after="40"/>
      <w:outlineLvl w:val="2"/>
    </w:pPr>
    <w:rPr>
      <w:rFonts w:asciiTheme="majorHAnsi" w:eastAsiaTheme="majorEastAsia" w:hAnsiTheme="majorHAnsi" w:cstheme="majorBidi" w:ascii="Calibri" w:hAnsi="Calibri"/>
      <w:b/>
      <w:bCs/>
      <w:color w:val="2E75B6"/>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