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Configuration Management Plan</w:t>
      </w:r>
    </w:p>
    <w:p>
      <w:r>
        <w:rPr>
          <w:i/>
        </w:rPr>
        <w:t>Reusable Template</w:t>
      </w:r>
    </w:p>
    <w:p>
      <w:r>
        <w:rPr>
          <w:b/>
        </w:rPr>
        <w:t xml:space="preserve">What this is: </w:t>
      </w:r>
      <w:r>
        <w:t>a reusable skeleton and table of contents for a ServiceNow Configuration Management Plan (CMP), aligned to the CSDM 5 framework and CMDB governance best practices. Structure validated against official ServiceNow sources (CSDM 5 white paper, CMDB Data Manager, CMDB Health docs).</w:t>
      </w:r>
    </w:p>
    <w:p>
      <w:r>
        <w:rPr>
          <w:b/>
        </w:rPr>
        <w:t xml:space="preserve">Pattern: </w:t>
      </w:r>
      <w:r>
        <w:t>class-centric (Option A) — all per-class detail lives in section 8; sections 9-11 hold cross-class policy/rules only and must never restate per-class values.</w:t>
      </w:r>
    </w:p>
    <w:p>
      <w:r>
        <w:rPr>
          <w:b/>
        </w:rPr>
        <w:t xml:space="preserve">Conventions: </w:t>
      </w:r>
      <w:r>
        <w:t>[CCB confirm] marks a PPL governance decision requiring CCB ratification. &lt;angle brackets&gt; mark fill-ins.</w:t>
      </w:r>
    </w:p>
    <w:p>
      <w:pPr>
        <w:pStyle w:val="Heading1"/>
      </w:pPr>
      <w:r>
        <w:t>Document Control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Configuration Management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6768"/>
          </w:tcPr>
          <w:p>
            <w:r>
              <w:t>&lt;Configuration Management Process Owner&gt;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Approver</w:t>
            </w:r>
          </w:p>
        </w:tc>
        <w:tc>
          <w:tcPr>
            <w:tcW w:type="dxa" w:w="6768"/>
          </w:tcPr>
          <w:p>
            <w:r>
              <w:t>&lt;CCB Chairperson&gt;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6768"/>
          </w:tcPr>
          <w:p>
            <w:r>
              <w:t>0.1 (DRAFT)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t>draft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Updated</w:t>
            </w:r>
          </w:p>
        </w:tc>
        <w:tc>
          <w:tcPr>
            <w:tcW w:type="dxa" w:w="6768"/>
          </w:tcPr>
          <w:p>
            <w:r>
              <w:t>&lt;YYYY-MM-DD&gt;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“Update Field”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Document Control</w:t>
      </w:r>
    </w:p>
    <w:p>
      <w:r>
        <w:t>Version history (version, date, author, summary of change), approvers / sign-off (CCB Chair, Process Owner, Architecture), distribution list, and review cycle (e.g., reviewed quarterly by the CCB).</w:t>
      </w:r>
    </w:p>
    <w:p>
      <w:pPr>
        <w:pStyle w:val="Heading1"/>
      </w:pPr>
      <w:r>
        <w:t>2. Introduction &amp; Purpose</w:t>
      </w:r>
    </w:p>
    <w:p>
      <w:r>
        <w:t>Why the plan exists and what “good” looks like for the CMDB. Relationship to ITIL Service Configuration Management and to the CSDM framework. Intended audience (CCB, CI Class Owners, Discovery/integration teams).</w:t>
      </w:r>
    </w:p>
    <w:p>
      <w:pPr>
        <w:pStyle w:val="Heading1"/>
      </w:pPr>
      <w:r>
        <w:t>3. Scope</w:t>
      </w:r>
    </w:p>
    <w:p>
      <w:pPr>
        <w:pStyle w:val="ListBullet"/>
      </w:pPr>
      <w:r>
        <w:t>In scope — CI classes governed by this plan: &lt;list&gt;</w:t>
      </w:r>
    </w:p>
    <w:p>
      <w:pPr>
        <w:pStyle w:val="ListBullet"/>
      </w:pPr>
      <w:r>
        <w:t>Out of scope — &lt;list&gt;</w:t>
      </w:r>
    </w:p>
    <w:p>
      <w:pPr>
        <w:pStyle w:val="ListBullet"/>
      </w:pPr>
      <w:r>
        <w:t>CSDM 5 domains in scope — Foundation · Ideation &amp; Strategy · Design &amp; Planning · Build &amp; Integration · Service Delivery · Service Consumption · Manage Portfolio</w:t>
      </w:r>
    </w:p>
    <w:p>
      <w:pPr>
        <w:pStyle w:val="ListBullet"/>
      </w:pPr>
      <w:r>
        <w:t>Environments / business units / data sources covered</w:t>
      </w:r>
    </w:p>
    <w:p>
      <w:pPr>
        <w:pStyle w:val="Heading1"/>
      </w:pPr>
      <w:r>
        <w:t>4. Objectives &amp; Success Criteria</w:t>
      </w:r>
    </w:p>
    <w:p>
      <w:r>
        <w:t>Measurable objectives, each tied to a verifiable KPI in section 12/16. Example: audit coverage ≥ 90% [CCB confirm].</w:t>
      </w:r>
    </w:p>
    <w:p>
      <w:pPr>
        <w:pStyle w:val="Heading1"/>
      </w:pPr>
      <w:r>
        <w:t>5. References &amp; Related Documents</w:t>
      </w:r>
    </w:p>
    <w:p>
      <w:r>
        <w:t>CSDM white paper &lt;confirm version&gt;, ServiceNow CMDB docs, contract deliverables, related governance policies, and the data-dictionary doc(s).</w:t>
      </w:r>
    </w:p>
    <w:p>
      <w:pPr>
        <w:pStyle w:val="Heading1"/>
      </w:pPr>
      <w:r>
        <w:t>6. Roles &amp; Responsibilities</w:t>
      </w:r>
    </w:p>
    <w:p>
      <w:pPr>
        <w:pStyle w:val="ListBullet"/>
      </w:pPr>
      <w:r>
        <w:t>Configuration Management Process Owner — overall CMDB health &amp; policy</w:t>
      </w:r>
    </w:p>
    <w:p>
      <w:pPr>
        <w:pStyle w:val="ListBullet"/>
      </w:pPr>
      <w:r>
        <w:t>CMDB Manager / CI Data Manager — day-to-day data quality, certification</w:t>
      </w:r>
    </w:p>
    <w:p>
      <w:pPr>
        <w:pStyle w:val="ListBullet"/>
      </w:pPr>
      <w:r>
        <w:t>CI Class Owners / Class Managers — accountable per class &lt;roster&gt;</w:t>
      </w:r>
    </w:p>
    <w:p>
      <w:pPr>
        <w:pStyle w:val="ListBullet"/>
      </w:pPr>
      <w:r>
        <w:t>Data Stewards — attribute-level stewardship</w:t>
      </w:r>
    </w:p>
    <w:p>
      <w:pPr>
        <w:pStyle w:val="ListBullet"/>
      </w:pPr>
      <w:r>
        <w:t>Discovery / Integration owners — authoritative source feeds</w:t>
      </w:r>
    </w:p>
    <w:p>
      <w:pPr>
        <w:pStyle w:val="ListBullet"/>
      </w:pPr>
      <w:r>
        <w:t>CCB (Change Control Board) — ratifies definitions, policy, precedence rules</w:t>
      </w:r>
    </w:p>
    <w:p>
      <w:pPr>
        <w:pStyle w:val="ListBullet"/>
      </w:pPr>
      <w:r>
        <w:t>RACI matrix — roles × key activities</w:t>
      </w:r>
    </w:p>
    <w:p>
      <w:pPr>
        <w:pStyle w:val="Heading1"/>
      </w:pPr>
      <w:r>
        <w:t>7. CMDB / CSDM Architecture</w:t>
      </w:r>
    </w:p>
    <w:p>
      <w:r>
        <w:t>The seven CSDM 5 domains and what lives in each. CI class hierarchy in scope (parent/child). How classes map to CSDM 5 domains. Service types (Business / Technical / Application service).</w:t>
      </w:r>
    </w:p>
    <w:p>
      <w:pPr>
        <w:pStyle w:val="Heading1"/>
      </w:pPr>
      <w:r>
        <w:t>8. Data Definitions (Class &amp; Attribute Dictionary) — CLASS-CENTRIC</w:t>
      </w:r>
    </w:p>
    <w:p>
      <w:r>
        <w:t>Authoritative home for all per-class detail. Sections 9-11 state rules; this section states the values. Link to the data-dictionary doc — do not duplicate. Each class is a self-contained unit:</w:t>
      </w:r>
    </w:p>
    <w:p>
      <w:pPr>
        <w:pStyle w:val="ListBullet"/>
      </w:pPr>
      <w:r>
        <w:t>1. Class Identity &amp; Scope</w:t>
      </w:r>
    </w:p>
    <w:p>
      <w:pPr>
        <w:pStyle w:val="ListBullet"/>
      </w:pPr>
      <w:r>
        <w:t>2. Attribute-Level Data Dictionary (incl. Source of Truth, Mandatory, Audited, Certification Owner)</w:t>
      </w:r>
    </w:p>
    <w:p>
      <w:pPr>
        <w:pStyle w:val="ListBullet"/>
      </w:pPr>
      <w:r>
        <w:t>3. Data Population &amp; Identification (this class's IRE identifiers + precedence)</w:t>
      </w:r>
    </w:p>
    <w:p>
      <w:pPr>
        <w:pStyle w:val="ListBullet"/>
      </w:pPr>
      <w:r>
        <w:t>4. Relationship Architecture (this class's CSDM mappings)</w:t>
      </w:r>
    </w:p>
    <w:p>
      <w:pPr>
        <w:pStyle w:val="Heading1"/>
      </w:pPr>
      <w:r>
        <w:t>9. Data Sourcing &amp; Reconciliation — Policy (RULES ONLY)</w:t>
      </w:r>
    </w:p>
    <w:p>
      <w:r>
        <w:t>The IRE philosophy, connector / discovery inventory, and how precedence conflicts are adjudicated in general. Never restate per-class source-of-truth values — those live in section 8.</w:t>
      </w:r>
    </w:p>
    <w:p>
      <w:pPr>
        <w:pStyle w:val="Heading1"/>
      </w:pPr>
      <w:r>
        <w:t>10. CI Lifecycle Management — Policy (RULES ONLY)</w:t>
      </w:r>
    </w:p>
    <w:p>
      <w:r>
        <w:t>What each lifecycle stage / operational status means, transition triggers, and staleness, retirement, and archival rules (ref: CMDB Data Manager). No per-class value lists.</w:t>
      </w:r>
    </w:p>
    <w:p>
      <w:pPr>
        <w:pStyle w:val="Heading1"/>
      </w:pPr>
      <w:r>
        <w:t>11. Relationship &amp; Dependency Standard (RULES ONLY)</w:t>
      </w:r>
    </w:p>
    <w:p>
      <w:r>
        <w:t>Approved relationship types, top-down vs tag-based vs manual Service Mapping, and mapping ownership and refresh cadence.</w:t>
      </w:r>
    </w:p>
    <w:p>
      <w:pPr>
        <w:pStyle w:val="Heading1"/>
      </w:pPr>
      <w:r>
        <w:t>12. Data Quality &amp; CMDB Health</w:t>
      </w:r>
    </w:p>
    <w:p>
      <w:r>
        <w:t>The three metrics — Completeness, Compliance, Correctness. Targets/thresholds per class [CCB confirm]. Remediation workflow for failing CIs.</w:t>
      </w:r>
    </w:p>
    <w:p>
      <w:pPr>
        <w:pStyle w:val="Heading1"/>
      </w:pPr>
      <w:r>
        <w:t>13. Data Certification &amp; Attestation</w:t>
      </w:r>
    </w:p>
    <w:p>
      <w:r>
        <w:t>Certification cadence, intake, ownership, attestation flow. OOTB vs custom decision [CCB confirm]. Evidence retention for audit.</w:t>
      </w:r>
    </w:p>
    <w:p>
      <w:pPr>
        <w:pStyle w:val="Heading1"/>
      </w:pPr>
      <w:r>
        <w:t>14. Governance &amp; Change Control (CCB Operating Model)</w:t>
      </w:r>
    </w:p>
    <w:p>
      <w:r>
        <w:t>CCB charter, membership, chairperson, quorum. Meeting cadence and decision process. Change control for data definitions, classes, and precedence rules. Exception / waiver process.</w:t>
      </w:r>
    </w:p>
    <w:p>
      <w:pPr>
        <w:pStyle w:val="Heading1"/>
      </w:pPr>
      <w:r>
        <w:t>15. Security &amp; Compliance Alignment</w:t>
      </w:r>
    </w:p>
    <w:p>
      <w:r>
        <w:t>SOX scoping, regulatory drivers (e.g., NERC-CIP), security standards. Audit inclusion rules per class/attribute [CCB confirm]. Access control &amp; data classification.</w:t>
      </w:r>
    </w:p>
    <w:p>
      <w:pPr>
        <w:pStyle w:val="Heading1"/>
      </w:pPr>
      <w:r>
        <w:t>16. Metrics, Reporting &amp; Dashboards</w:t>
      </w:r>
    </w:p>
    <w:p>
      <w:r>
        <w:t>KPI catalog (health scores, certification %, audit coverage). Dashboards. Report cadence and audience per report.</w:t>
      </w:r>
    </w:p>
    <w:p>
      <w:pPr>
        <w:pStyle w:val="Heading1"/>
      </w:pPr>
      <w:r>
        <w:t>17. Maintenance &amp; Continual Improvement</w:t>
      </w:r>
    </w:p>
    <w:p>
      <w:r>
        <w:t>Review/update cadence for this plan. How findings feed back into objectives and the CCB backlog.</w:t>
      </w:r>
    </w:p>
    <w:p>
      <w:pPr>
        <w:pStyle w:val="Heading1"/>
      </w:pPr>
      <w:r>
        <w:t>18. Glossary</w:t>
      </w:r>
    </w:p>
    <w:p>
      <w:r>
        <w:t>CI, CSDM, IRE, CCB, SGC, Service Mapping, and other key terms.</w:t>
      </w:r>
    </w:p>
    <w:p>
      <w:pPr>
        <w:pStyle w:val="Heading1"/>
      </w:pPr>
      <w:r>
        <w:t>19. Appendices</w:t>
      </w:r>
    </w:p>
    <w:p>
      <w:pPr>
        <w:pStyle w:val="ListBullet"/>
      </w:pPr>
      <w:r>
        <w:t>A — RACI matrix</w:t>
      </w:r>
    </w:p>
    <w:p>
      <w:pPr>
        <w:pStyle w:val="ListBullet"/>
      </w:pPr>
      <w:r>
        <w:t>B — CI class → CSDM domain map</w:t>
      </w:r>
    </w:p>
    <w:p>
      <w:pPr>
        <w:pStyle w:val="ListBullet"/>
      </w:pPr>
      <w:r>
        <w:t>C — Authoritative-source matrix</w:t>
      </w:r>
    </w:p>
    <w:p>
      <w:pPr>
        <w:pStyle w:val="ListBullet"/>
      </w:pPr>
      <w:r>
        <w:t>D — KPI definitions</w:t>
      </w:r>
    </w:p>
    <w:p>
      <w:pPr>
        <w:pStyle w:val="ListBullet"/>
      </w:pPr>
      <w:r>
        <w:t>E — Change / version log detail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