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8"/>
        </w:rPr>
        <w:t>ServiceNow CMDB — Computer &amp; Server Record Cleanup</w:t>
      </w:r>
    </w:p>
    <w:p>
      <w:r>
        <w:rPr>
          <w:color w:val="2E6DB4"/>
          <w:sz w:val="26"/>
        </w:rPr>
        <w:t>Root Cause, Impact, and Response to Concerns Raised</w:t>
      </w:r>
    </w:p>
    <w:p>
      <w:r>
        <w:rPr>
          <w:i/>
          <w:color w:val="6B7280"/>
          <w:sz w:val="18"/>
        </w:rPr>
        <w:t>PPL CMDB-CSDM · DRAFT · 2026-07-23</w:t>
      </w:r>
    </w:p>
    <w:p>
      <w:r>
        <w:rPr>
          <w:b/>
          <w:color w:val="C0392B"/>
          <w:sz w:val="20"/>
        </w:rPr>
        <w:t>DRAFT — For Review Before Sending</w:t>
      </w:r>
    </w:p>
    <w:p>
      <w:r>
        <w:rPr>
          <w:i/>
          <w:color w:val="6B7280"/>
          <w:sz w:val="18"/>
        </w:rPr>
        <w:t>DRAFT — for review/improvement before sending. Audience: initially Sonika, then broader key stakeholders. Purpose: root-cause-and-remediation for leadership + response to the concerns raised in Sonika’s email thread ("RE: Issues...SNOW CMDB").</w:t>
      </w:r>
    </w:p>
    <w:p>
      <w:r>
        <w:rPr>
          <w:b/>
          <w:color w:val="1F3A5F"/>
          <w:sz w:val="18"/>
        </w:rPr>
        <w:t>Open items before sending:</w:t>
      </w:r>
    </w:p>
    <w:p>
      <w:pPr>
        <w:pStyle w:val="ListBullet"/>
        <w:spacing w:after="40"/>
      </w:pPr>
      <w:r>
        <w:rPr>
          <w:color w:val="6B7280"/>
          <w:sz w:val="18"/>
        </w:rPr>
        <w:t>Record count — currently stated as "all qualifying records"; insert the actual count from the query result if desired.</w:t>
      </w:r>
    </w:p>
    <w:p>
      <w:pPr>
        <w:pStyle w:val="ListBullet"/>
        <w:spacing w:after="40"/>
      </w:pPr>
      <w:r>
        <w:rPr>
          <w:color w:val="6B7280"/>
          <w:sz w:val="18"/>
        </w:rPr>
        <w:t xml:space="preserve">Remediation (Concern #6/#8) — now framed as a governed CMDB Health &amp; retirement lifecycle policy (see Governance &amp; Go-Forward Controls); requirements still to be </w:t>
      </w:r>
      <w:r>
        <w:rPr>
          <w:b/>
          <w:color w:val="6B7280"/>
          <w:sz w:val="18"/>
        </w:rPr>
        <w:t>defined with stakeholders and approved by the CCB</w:t>
      </w:r>
      <w:r>
        <w:rPr>
          <w:color w:val="6B7280"/>
          <w:sz w:val="18"/>
        </w:rPr>
        <w:t xml:space="preserve"> before development.</w:t>
      </w:r>
    </w:p>
    <w:p>
      <w:pPr>
        <w:spacing w:before="200" w:after="80"/>
      </w:pPr>
      <w:r>
        <w:rPr>
          <w:b/>
          <w:color w:val="1F3A5F"/>
          <w:sz w:val="28"/>
        </w:rPr>
        <w:t>Executive Summary</w:t>
      </w:r>
    </w:p>
    <w:p>
      <w:pPr>
        <w:spacing w:after="120"/>
      </w:pPr>
      <w:r>
        <w:t xml:space="preserve">A one-time cleanup was performed to retire Computer and Server records that had been loaded into the CMDB through </w:t>
      </w:r>
      <w:r>
        <w:rPr>
          <w:b/>
        </w:rPr>
        <w:t>manual or one-time imports from legacy sources</w:t>
      </w:r>
      <w:r>
        <w:t>, before ServiceNow Discovery scope was finalized. Concerns were subsequently raised that active operational assets may have been retired, creating data-integrity, operational, governance, and compliance risk.</w:t>
      </w:r>
    </w:p>
    <w:p>
      <w:pPr>
        <w:spacing w:after="120"/>
      </w:pPr>
      <w:r>
        <w:t xml:space="preserve">The primary root cause is a difference between the </w:t>
      </w:r>
      <w:r>
        <w:rPr>
          <w:b/>
        </w:rPr>
        <w:t>current scope</w:t>
      </w:r>
      <w:r>
        <w:t xml:space="preserve"> of the ServiceNow CMDB and </w:t>
      </w:r>
      <w:r>
        <w:rPr>
          <w:b/>
        </w:rPr>
        <w:t>how broadly its coverage is understood</w:t>
      </w:r>
      <w:r>
        <w:t xml:space="preserve">. Discovery is intentionally limited to specific subnets; many subnets — </w:t>
      </w:r>
      <w:r>
        <w:rPr>
          <w:b/>
        </w:rPr>
        <w:t>including those hosting OT/SCADA and NERC-related devices — are deliberately out of scope and are not discovered or maintained in the CMDB.</w:t>
      </w:r>
      <w:r>
        <w:t xml:space="preserve"> The cleanup removed </w:t>
      </w:r>
      <w:r>
        <w:rPr>
          <w:b/>
        </w:rPr>
        <w:t>unvalidated, pre-scope import records</w:t>
      </w:r>
      <w:r>
        <w:t>, not live discovered assets.</w:t>
      </w:r>
    </w:p>
    <w:p>
      <w:pPr>
        <w:spacing w:after="120"/>
      </w:pPr>
      <w:r>
        <w:t xml:space="preserve">Critically, </w:t>
      </w:r>
      <w:r>
        <w:rPr>
          <w:b/>
        </w:rPr>
        <w:t>every retirement is fully reversible</w:t>
      </w:r>
      <w:r>
        <w:t xml:space="preserve"> — retired records are not deleted, so any record later confirmed to be a legitimate in-scope asset can be restored immediately with no data loss. A </w:t>
      </w:r>
      <w:r>
        <w:rPr>
          <w:b/>
        </w:rPr>
        <w:t>governed CMDB Health &amp; lifecycle policy — defined with stakeholder input and approved by the CCB — will gate all future retirements</w:t>
      </w:r>
      <w:r>
        <w:t xml:space="preserve"> (see Governance &amp; Go-Forward Controls). The current objective is to establish a </w:t>
      </w:r>
      <w:r>
        <w:rPr>
          <w:b/>
        </w:rPr>
        <w:t>stable, in-scope CMDB baseline</w:t>
      </w:r>
      <w:r>
        <w:t>.</w:t>
      </w:r>
    </w:p>
    <w:p>
      <w:pPr>
        <w:spacing w:before="200" w:after="80"/>
      </w:pPr>
      <w:r>
        <w:rPr>
          <w:b/>
          <w:color w:val="1F3A5F"/>
          <w:sz w:val="28"/>
        </w:rPr>
        <w:t>What Occurred</w:t>
      </w:r>
    </w:p>
    <w:p>
      <w:pPr>
        <w:pStyle w:val="ListBullet"/>
        <w:spacing w:after="40"/>
      </w:pPr>
      <w:r>
        <w:t xml:space="preserve">A </w:t>
      </w:r>
      <w:r>
        <w:rPr>
          <w:b/>
        </w:rPr>
        <w:t>single, one-time query/script</w:t>
      </w:r>
      <w:r>
        <w:t xml:space="preserve"> identified and retired qualifying records — this was </w:t>
      </w:r>
      <w:r>
        <w:rPr>
          <w:b/>
        </w:rPr>
        <w:t>not an automated or recurring process</w:t>
      </w:r>
      <w:r>
        <w:t xml:space="preserve"> that continuously writes to the CMDB.</w:t>
      </w:r>
    </w:p>
    <w:p>
      <w:pPr>
        <w:pStyle w:val="ListBullet"/>
        <w:spacing w:after="40"/>
      </w:pPr>
      <w:r>
        <w:t xml:space="preserve">Criteria: records </w:t>
      </w:r>
      <w:r>
        <w:rPr>
          <w:b/>
        </w:rPr>
        <w:t>not already Retired</w:t>
      </w:r>
      <w:r>
        <w:t xml:space="preserve"> whose </w:t>
      </w:r>
      <w:r>
        <w:rPr>
          <w:b/>
        </w:rPr>
        <w:t>Discovery Source</w:t>
      </w:r>
      <w:r>
        <w:t xml:space="preserve"> was a legacy/manual origin — </w:t>
      </w:r>
      <w:r>
        <w:rPr>
          <w:i/>
        </w:rPr>
        <w:t>ImportSet, iTeam, Manual Entry, CherWell KY, CherWell PA,</w:t>
      </w:r>
      <w:r>
        <w:t xml:space="preserve"> or </w:t>
      </w:r>
      <w:r>
        <w:rPr>
          <w:i/>
        </w:rPr>
        <w:t>empty</w:t>
      </w:r>
      <w:r>
        <w:t>.</w:t>
      </w:r>
    </w:p>
    <w:p>
      <w:pPr>
        <w:pStyle w:val="ListBullet"/>
        <w:spacing w:after="40"/>
      </w:pPr>
      <w:r>
        <w:rPr>
          <w:b/>
        </w:rPr>
        <w:t>All records meeting the criteria were retired</w:t>
      </w:r>
      <w:r>
        <w:t xml:space="preserve">, across both the </w:t>
      </w:r>
      <w:r>
        <w:rPr>
          <w:b/>
        </w:rPr>
        <w:t>Computer</w:t>
      </w:r>
      <w:r>
        <w:t xml:space="preserve"> and </w:t>
      </w:r>
      <w:r>
        <w:rPr>
          <w:b/>
        </w:rPr>
        <w:t>Server</w:t>
      </w:r>
      <w:r>
        <w:t xml:space="preserve"> classes.</w:t>
      </w:r>
    </w:p>
    <w:p>
      <w:pPr>
        <w:pStyle w:val="ListBullet"/>
        <w:spacing w:after="40"/>
      </w:pPr>
      <w:r>
        <w:t xml:space="preserve">The action was </w:t>
      </w:r>
      <w:r>
        <w:rPr>
          <w:b/>
        </w:rPr>
        <w:t>reviewed with key stakeholders in advance</w:t>
      </w:r>
      <w:r>
        <w:t xml:space="preserve"> — it was not undertaken unilaterally by the CMDB team.</w:t>
      </w:r>
    </w:p>
    <w:p>
      <w:pPr>
        <w:spacing w:before="200" w:after="80"/>
      </w:pPr>
      <w:r>
        <w:rPr>
          <w:b/>
          <w:color w:val="1F3A5F"/>
          <w:sz w:val="28"/>
        </w:rPr>
        <w:t>Root Cause</w:t>
      </w:r>
    </w:p>
    <w:p>
      <w:pPr>
        <w:spacing w:after="120"/>
      </w:pPr>
      <w:r>
        <w:t xml:space="preserve">Initial CMDB loads were </w:t>
      </w:r>
      <w:r>
        <w:rPr>
          <w:b/>
        </w:rPr>
        <w:t>bulk collections of records from pre-existing sources</w:t>
      </w:r>
      <w:r>
        <w:t xml:space="preserve">, imported as a starting point </w:t>
      </w:r>
      <w:r>
        <w:rPr>
          <w:b/>
        </w:rPr>
        <w:t>before Discovery scope was finalized</w:t>
      </w:r>
      <w:r>
        <w:t xml:space="preserve">. Because scope was not yet defined, these records were </w:t>
      </w:r>
      <w:r>
        <w:rPr>
          <w:b/>
        </w:rPr>
        <w:t>never validated for scope</w:t>
      </w:r>
      <w:r>
        <w:t xml:space="preserve"> when they entered the CMDB. They are not maintained by any authoritative discovery source and, in many cases, sit outside the subnets the CMDB is scoped to manage.</w:t>
      </w:r>
    </w:p>
    <w:p>
      <w:pPr>
        <w:spacing w:after="120"/>
      </w:pPr>
      <w:r>
        <w:t xml:space="preserve">The concern that “active operational assets were retired” stems largely from a </w:t>
      </w:r>
      <w:r>
        <w:rPr>
          <w:b/>
        </w:rPr>
        <w:t>difference between the CMDB’s current scope and how broadly its coverage is understood</w:t>
      </w:r>
      <w:r>
        <w:t>: the CMDB covers a narrower portion of the environment today than is often assumed.</w:t>
      </w:r>
    </w:p>
    <w:p>
      <w:pPr>
        <w:spacing w:before="200" w:after="80"/>
      </w:pPr>
      <w:r>
        <w:rPr>
          <w:b/>
          <w:color w:val="1F3A5F"/>
          <w:sz w:val="28"/>
        </w:rPr>
        <w:t>Scope Clarification</w:t>
      </w:r>
    </w:p>
    <w:p>
      <w:pPr>
        <w:pStyle w:val="ListBullet"/>
        <w:spacing w:after="40"/>
      </w:pPr>
      <w:r>
        <w:t xml:space="preserve">ServiceNow </w:t>
      </w:r>
      <w:r>
        <w:rPr>
          <w:b/>
        </w:rPr>
        <w:t>Discovery is scoped to specific, prescribed subnets.</w:t>
      </w:r>
    </w:p>
    <w:p>
      <w:pPr>
        <w:pStyle w:val="ListBullet"/>
        <w:spacing w:after="40"/>
      </w:pPr>
      <w:r>
        <w:rPr>
          <w:b/>
        </w:rPr>
        <w:t>Multiple subnets are intentionally out of scope</w:t>
      </w:r>
      <w:r>
        <w:t xml:space="preserve"> — including subnets that host </w:t>
      </w:r>
      <w:r>
        <w:rPr>
          <w:b/>
        </w:rPr>
        <w:t>OT, SCADA, and NERC-related devices.</w:t>
      </w:r>
      <w:r>
        <w:t xml:space="preserve"> These assets are </w:t>
      </w:r>
      <w:r>
        <w:rPr>
          <w:b/>
        </w:rPr>
        <w:t>not discovered and not maintained in the CMDB by design.</w:t>
      </w:r>
    </w:p>
    <w:p>
      <w:pPr>
        <w:pStyle w:val="ListBullet"/>
        <w:spacing w:after="40"/>
      </w:pPr>
      <w:r>
        <w:t xml:space="preserve">Retirement logic based on absence of active discovery therefore </w:t>
      </w:r>
      <w:r>
        <w:rPr>
          <w:b/>
        </w:rPr>
        <w:t>does not, and should not, act on those out-of-scope operational assets</w:t>
      </w:r>
      <w:r>
        <w:t xml:space="preserve"> — they are not in the discovered inventory.</w:t>
      </w:r>
    </w:p>
    <w:p>
      <w:pPr>
        <w:pStyle w:val="ListBullet"/>
        <w:spacing w:after="40"/>
      </w:pPr>
      <w:r>
        <w:rPr>
          <w:b/>
        </w:rPr>
        <w:t>NERC CIP is currently out of scope</w:t>
      </w:r>
      <w:r>
        <w:t xml:space="preserve"> for this CMDB effort; a </w:t>
      </w:r>
      <w:r>
        <w:rPr>
          <w:b/>
        </w:rPr>
        <w:t>separate, parallel initiative</w:t>
      </w:r>
      <w:r>
        <w:t xml:space="preserve"> is evaluating NERC-specific solutions.</w:t>
      </w:r>
    </w:p>
    <w:p>
      <w:pPr>
        <w:spacing w:before="200" w:after="80"/>
      </w:pPr>
      <w:r>
        <w:rPr>
          <w:b/>
          <w:color w:val="1F3A5F"/>
          <w:sz w:val="28"/>
        </w:rPr>
        <w:t>Response to the Concerns Raised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04"/>
          </w:tcPr>
          <w:p>
            <w:r/>
            <w:r>
              <w:rPr>
                <w:b/>
                <w:color w:val="1F3A5F"/>
                <w:sz w:val="18"/>
              </w:rPr>
              <w:t>#</w:t>
            </w:r>
          </w:p>
        </w:tc>
        <w:tc>
          <w:tcPr>
            <w:tcW w:type="dxa" w:w="2952"/>
          </w:tcPr>
          <w:p>
            <w:r/>
            <w:r>
              <w:rPr>
                <w:b/>
                <w:color w:val="1F3A5F"/>
                <w:sz w:val="18"/>
              </w:rPr>
              <w:t>Concern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1F3A5F"/>
                <w:sz w:val="18"/>
              </w:rPr>
              <w:t>Response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2952"/>
          </w:tcPr>
          <w:p>
            <w:r/>
            <w:r>
              <w:rPr>
                <w:sz w:val="18"/>
              </w:rPr>
              <w:t>Active CIs automatically retired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 xml:space="preserve">Performed by a </w:t>
            </w:r>
            <w:r>
              <w:rPr>
                <w:b/>
                <w:sz w:val="18"/>
              </w:rPr>
              <w:t>one-time script</w:t>
            </w:r>
            <w:r>
              <w:rPr>
                <w:sz w:val="18"/>
              </w:rPr>
              <w:t xml:space="preserve">, not an automated/recurring rule. Reviewed with key stakeholders in advance — </w:t>
            </w:r>
            <w:r>
              <w:rPr>
                <w:b/>
                <w:sz w:val="18"/>
              </w:rPr>
              <w:t>not unilateral.</w:t>
            </w:r>
          </w:p>
        </w:tc>
      </w:tr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2952"/>
          </w:tcPr>
          <w:p>
            <w:r/>
            <w:r>
              <w:rPr>
                <w:sz w:val="18"/>
              </w:rPr>
              <w:t>Potential widespread / undiscovered impact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 xml:space="preserve">Retired records were </w:t>
            </w:r>
            <w:r>
              <w:rPr>
                <w:b/>
                <w:sz w:val="18"/>
              </w:rPr>
              <w:t>unvalidated pre-scope imports</w:t>
            </w:r>
            <w:r>
              <w:rPr>
                <w:sz w:val="18"/>
              </w:rPr>
              <w:t xml:space="preserve">, not authoritatively discovered assets. </w:t>
            </w:r>
            <w:r>
              <w:rPr>
                <w:b/>
                <w:sz w:val="18"/>
              </w:rPr>
              <w:t>No affected record has been identified as a legitimate in-scope asset.</w:t>
            </w:r>
            <w:r>
              <w:rPr>
                <w:sz w:val="18"/>
              </w:rPr>
              <w:t xml:space="preserve"> Any that is will be </w:t>
            </w:r>
            <w:r>
              <w:rPr>
                <w:b/>
                <w:sz w:val="18"/>
              </w:rPr>
              <w:t>restored immediately</w:t>
            </w:r>
            <w:r>
              <w:rPr>
                <w:sz w:val="18"/>
              </w:rPr>
              <w:t xml:space="preserve"> — retirement is reversible.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2952"/>
          </w:tcPr>
          <w:p>
            <w:r/>
            <w:r>
              <w:rPr>
                <w:sz w:val="18"/>
              </w:rPr>
              <w:t>Communication / stakeholder awareness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 xml:space="preserve">Cleanup was reviewed with key stakeholders. Communication is </w:t>
            </w:r>
            <w:r>
              <w:rPr>
                <w:b/>
                <w:sz w:val="18"/>
              </w:rPr>
              <w:t>deliberately staged</w:t>
            </w:r>
            <w:r>
              <w:rPr>
                <w:sz w:val="18"/>
              </w:rPr>
              <w:t xml:space="preserve"> — focused on key stakeholders now to stabilize the baseline, broadening to operational teams as the baseline is confirmed.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2952"/>
          </w:tcPr>
          <w:p>
            <w:r/>
            <w:r>
              <w:rPr>
                <w:sz w:val="18"/>
              </w:rPr>
              <w:t>Operational risk (monitoring alerts)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 xml:space="preserve">Where a retired record was still referenced downstream, discrepancies could surface. These are </w:t>
            </w:r>
            <w:r>
              <w:rPr>
                <w:b/>
                <w:sz w:val="18"/>
              </w:rPr>
              <w:t>resolved by restoring the record</w:t>
            </w:r>
            <w:r>
              <w:rPr>
                <w:sz w:val="18"/>
              </w:rPr>
              <w:t xml:space="preserve"> (fully reversible) — </w:t>
            </w:r>
            <w:r>
              <w:rPr>
                <w:b/>
                <w:sz w:val="18"/>
              </w:rPr>
              <w:t>over 40 records identified this way have already been restored.</w:t>
            </w:r>
            <w:r>
              <w:rPr>
                <w:sz w:val="18"/>
              </w:rPr>
              <w:t xml:space="preserve"> Such cases also help confirm which records belong in the validated baseline.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2952"/>
          </w:tcPr>
          <w:p>
            <w:r/>
            <w:r>
              <w:rPr>
                <w:sz w:val="18"/>
              </w:rPr>
              <w:t>OT / SCADA / CIP assets are different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Acknowledged and central.</w:t>
            </w:r>
            <w:r>
              <w:rPr>
                <w:sz w:val="18"/>
              </w:rPr>
              <w:t xml:space="preserve"> Those assets live on </w:t>
            </w:r>
            <w:r>
              <w:rPr>
                <w:b/>
                <w:sz w:val="18"/>
              </w:rPr>
              <w:t>out-of-scope subnets, are not discovered, and are not maintained in the CMDB.</w:t>
            </w:r>
            <w:r>
              <w:rPr>
                <w:sz w:val="18"/>
              </w:rPr>
              <w:t xml:space="preserve"> The cleanup targeted pre-scope import records, not live operational OT assets. OT/CIP is handled by a parallel effort.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2952"/>
          </w:tcPr>
          <w:p>
            <w:r/>
            <w:r>
              <w:rPr>
                <w:sz w:val="18"/>
              </w:rPr>
              <w:t>Insufficient retirement controls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Agreed.</w:t>
            </w:r>
            <w:r>
              <w:rPr>
                <w:sz w:val="18"/>
              </w:rPr>
              <w:t xml:space="preserve"> A governed </w:t>
            </w:r>
            <w:r>
              <w:rPr>
                <w:b/>
                <w:sz w:val="18"/>
              </w:rPr>
              <w:t>CMDB Health &amp; lifecycle policy</w:t>
            </w:r>
            <w:r>
              <w:rPr>
                <w:sz w:val="18"/>
              </w:rPr>
              <w:t xml:space="preserve"> is being established — staleness-based candidate identification, </w:t>
            </w:r>
            <w:r>
              <w:rPr>
                <w:b/>
                <w:sz w:val="18"/>
              </w:rPr>
              <w:t>automated stakeholder notification, explicit approval, and advance notice before implementation</w:t>
            </w:r>
            <w:r>
              <w:rPr>
                <w:sz w:val="18"/>
              </w:rPr>
              <w:t xml:space="preserve"> (see Governance &amp; Go-Forward Controls). Requirements will be </w:t>
            </w:r>
            <w:r>
              <w:rPr>
                <w:b/>
                <w:sz w:val="18"/>
              </w:rPr>
              <w:t>defined with stakeholder input and approved by the CCB</w:t>
            </w:r>
            <w:r>
              <w:rPr>
                <w:sz w:val="18"/>
              </w:rPr>
              <w:t xml:space="preserve"> before development/implementation.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2952"/>
          </w:tcPr>
          <w:p>
            <w:r/>
            <w:r>
              <w:rPr>
                <w:sz w:val="18"/>
              </w:rPr>
              <w:t>Compliance / NERC CIP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NERC CIP is out of scope today</w:t>
            </w:r>
            <w:r>
              <w:rPr>
                <w:sz w:val="18"/>
              </w:rPr>
              <w:t xml:space="preserve">; the CMDB is </w:t>
            </w:r>
            <w:r>
              <w:rPr>
                <w:b/>
                <w:sz w:val="18"/>
              </w:rPr>
              <w:t>not its system of record.</w:t>
            </w:r>
            <w:r>
              <w:rPr>
                <w:sz w:val="18"/>
              </w:rPr>
              <w:t xml:space="preserve"> A parallel initiative owns NERC-specific solutions and will define governance for any future regulated data.</w:t>
            </w:r>
          </w:p>
        </w:tc>
      </w:tr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2952"/>
          </w:tcPr>
          <w:p>
            <w:r/>
            <w:r>
              <w:rPr>
                <w:sz w:val="18"/>
              </w:rPr>
              <w:t>Root cause &amp; remediation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 xml:space="preserve">Root cause = </w:t>
            </w:r>
            <w:r>
              <w:rPr>
                <w:b/>
                <w:sz w:val="18"/>
              </w:rPr>
              <w:t>unvalidated pre-scope legacy imports + a narrower-than-understood CMDB scope.</w:t>
            </w:r>
            <w:r>
              <w:rPr>
                <w:sz w:val="18"/>
              </w:rPr>
              <w:t xml:space="preserve"> Remediation = the </w:t>
            </w:r>
            <w:r>
              <w:rPr>
                <w:b/>
                <w:sz w:val="18"/>
              </w:rPr>
              <w:t>governed CMDB Health retirement policy</w:t>
            </w:r>
            <w:r>
              <w:rPr>
                <w:sz w:val="18"/>
              </w:rPr>
              <w:t xml:space="preserve"> (see Governance &amp; Go-Forward Controls), with interim safety from </w:t>
            </w:r>
            <w:r>
              <w:rPr>
                <w:b/>
                <w:sz w:val="18"/>
              </w:rPr>
              <w:t>full reversibility</w:t>
            </w:r>
            <w:r>
              <w:rPr>
                <w:sz w:val="18"/>
              </w:rPr>
              <w:t xml:space="preserve"> (40+ already restored) and staged communication toward a </w:t>
            </w:r>
            <w:r>
              <w:rPr>
                <w:b/>
                <w:sz w:val="18"/>
              </w:rPr>
              <w:t>validated CMDB baseline.</w:t>
            </w:r>
          </w:p>
        </w:tc>
      </w:tr>
    </w:tbl>
    <w:p>
      <w:pPr>
        <w:spacing w:before="200" w:after="80"/>
      </w:pPr>
      <w:r>
        <w:rPr>
          <w:b/>
          <w:color w:val="1F3A5F"/>
          <w:sz w:val="28"/>
        </w:rPr>
        <w:t>Safeguards &amp; Reversibility</w:t>
      </w:r>
    </w:p>
    <w:p>
      <w:pPr>
        <w:pStyle w:val="ListBullet"/>
        <w:spacing w:after="40"/>
      </w:pPr>
      <w:r>
        <w:rPr>
          <w:b/>
        </w:rPr>
        <w:t>Retired ≠ deleted.</w:t>
      </w:r>
      <w:r>
        <w:t xml:space="preserve"> Every retired record is </w:t>
      </w:r>
      <w:r>
        <w:rPr>
          <w:b/>
        </w:rPr>
        <w:t>fully recoverable</w:t>
      </w:r>
      <w:r>
        <w:t xml:space="preserve">; any legitimate in-scope asset can be restored on request. This has already been exercised in practice — </w:t>
      </w:r>
      <w:r>
        <w:rPr>
          <w:b/>
        </w:rPr>
        <w:t>over 40 records have been restored to date.</w:t>
      </w:r>
    </w:p>
    <w:p>
      <w:pPr>
        <w:pStyle w:val="ListBullet"/>
        <w:spacing w:after="40"/>
      </w:pPr>
      <w:r>
        <w:t xml:space="preserve">The cleanup was a </w:t>
      </w:r>
      <w:r>
        <w:rPr>
          <w:b/>
        </w:rPr>
        <w:t>one-time baseline action</w:t>
      </w:r>
      <w:r>
        <w:t>, not a standing automated rule.</w:t>
      </w:r>
    </w:p>
    <w:p>
      <w:pPr>
        <w:pStyle w:val="ListBullet"/>
        <w:spacing w:after="40"/>
      </w:pPr>
      <w:r>
        <w:t xml:space="preserve">Future retirements will be gated by a </w:t>
      </w:r>
      <w:r>
        <w:rPr>
          <w:b/>
        </w:rPr>
        <w:t>governed CMDB Health &amp; lifecycle policy</w:t>
      </w:r>
      <w:r>
        <w:t xml:space="preserve"> (see Governance &amp; Go-Forward Controls), replacing ad-hoc action.</w:t>
      </w:r>
    </w:p>
    <w:p>
      <w:pPr>
        <w:spacing w:before="200" w:after="80"/>
      </w:pPr>
      <w:r>
        <w:rPr>
          <w:b/>
          <w:color w:val="1F3A5F"/>
          <w:sz w:val="28"/>
        </w:rPr>
        <w:t>Governance &amp; Go-Forward Controls</w:t>
      </w:r>
    </w:p>
    <w:p>
      <w:pPr>
        <w:spacing w:after="120"/>
      </w:pPr>
      <w:r>
        <w:t xml:space="preserve">To ensure this one-time cleanup is never repeated as an ad-hoc action, the team is establishing a </w:t>
      </w:r>
      <w:r>
        <w:rPr>
          <w:b/>
        </w:rPr>
        <w:t>governed, repeatable CMDB Health &amp; lifecycle policy</w:t>
      </w:r>
      <w:r>
        <w:t xml:space="preserve"> for identifying and retiring CIs. The framework replaces ad-hoc action with a controlled, approval-gated, auditable workflow:</w:t>
      </w:r>
    </w:p>
    <w:p>
      <w:pPr>
        <w:pStyle w:val="ListNumber"/>
        <w:spacing w:after="60"/>
      </w:pPr>
      <w:r>
        <w:rPr>
          <w:b/>
        </w:rPr>
        <w:t>Policy-based candidate identification (CMDB Health).</w:t>
      </w:r>
      <w:r>
        <w:t xml:space="preserve"> Retirement candidates are surfaced through defined CMDB Health criteria — principally </w:t>
      </w:r>
      <w:r>
        <w:rPr>
          <w:b/>
        </w:rPr>
        <w:t>staleness</w:t>
      </w:r>
      <w:r>
        <w:t xml:space="preserve"> (CIs not updated or confirmed by an authoritative source within a defined threshold) and related data-quality criteria. Criteria will explicitly account for legitimately </w:t>
      </w:r>
      <w:r>
        <w:rPr>
          <w:b/>
        </w:rPr>
        <w:t>non-discoverable, in-scope assets (e.g., OT/SCADA)</w:t>
      </w:r>
      <w:r>
        <w:t xml:space="preserve"> so that absence of discovery alone never drives retirement.</w:t>
      </w:r>
    </w:p>
    <w:p>
      <w:pPr>
        <w:pStyle w:val="ListNumber"/>
        <w:spacing w:after="60"/>
      </w:pPr>
      <w:r>
        <w:rPr>
          <w:b/>
        </w:rPr>
        <w:t>Automated stakeholder notification.</w:t>
      </w:r>
      <w:r>
        <w:t xml:space="preserve"> When a CI meets the candidate criteria, an </w:t>
      </w:r>
      <w:r>
        <w:rPr>
          <w:b/>
        </w:rPr>
        <w:t>automated workflow notifies the affected stakeholders/owners</w:t>
      </w:r>
      <w:r>
        <w:t xml:space="preserve"> — no silent state changes.</w:t>
      </w:r>
    </w:p>
    <w:p>
      <w:pPr>
        <w:pStyle w:val="ListNumber"/>
        <w:spacing w:after="60"/>
      </w:pPr>
      <w:r>
        <w:rPr>
          <w:b/>
        </w:rPr>
        <w:t>Explicit approval step.</w:t>
      </w:r>
      <w:r>
        <w:t xml:space="preserve"> Retirement does not proceed without </w:t>
      </w:r>
      <w:r>
        <w:rPr>
          <w:b/>
        </w:rPr>
        <w:t>explicit approval</w:t>
      </w:r>
      <w:r>
        <w:t xml:space="preserve"> from the responsible stakeholders/SMEs, keeping them in every lifecycle decision.</w:t>
      </w:r>
    </w:p>
    <w:p>
      <w:pPr>
        <w:pStyle w:val="ListNumber"/>
        <w:spacing w:after="60"/>
      </w:pPr>
      <w:r>
        <w:rPr>
          <w:b/>
        </w:rPr>
        <w:t>Advance notice prior to implementation.</w:t>
      </w:r>
      <w:r>
        <w:t xml:space="preserve"> Once approved, </w:t>
      </w:r>
      <w:r>
        <w:rPr>
          <w:b/>
        </w:rPr>
        <w:t>advance notice is issued before the change is implemented</w:t>
      </w:r>
      <w:r>
        <w:t>, giving downstream and operational teams time to complete associated decommissioning activities and preventing monitoring/operational surprises.</w:t>
      </w:r>
    </w:p>
    <w:p>
      <w:pPr>
        <w:spacing w:after="60"/>
      </w:pPr>
      <w:r>
        <w:rPr>
          <w:b/>
        </w:rPr>
        <w:t>Governance authority:</w:t>
      </w:r>
      <w:r>
        <w:t xml:space="preserve"> These policy requirements will be </w:t>
      </w:r>
      <w:r>
        <w:rPr>
          <w:b/>
        </w:rPr>
        <w:t>defined with stakeholder input</w:t>
      </w:r>
      <w:r>
        <w:t xml:space="preserve"> and </w:t>
      </w:r>
      <w:r>
        <w:rPr>
          <w:b/>
        </w:rPr>
        <w:t>formally approved by the Change Control Board (CCB)</w:t>
      </w:r>
      <w:r>
        <w:t xml:space="preserve"> before any development and implementation.</w:t>
      </w:r>
    </w:p>
    <w:p>
      <w:pPr>
        <w:spacing w:after="120"/>
      </w:pPr>
      <w:r>
        <w:rPr>
          <w:b/>
        </w:rPr>
        <w:t>Process compliance:</w:t>
      </w:r>
      <w:r>
        <w:t xml:space="preserve"> The policies will comply with </w:t>
      </w:r>
      <w:r>
        <w:rPr>
          <w:b/>
        </w:rPr>
        <w:t>all existing processes</w:t>
      </w:r>
      <w:r>
        <w:t xml:space="preserve"> (change, configuration management, and related governance).</w:t>
      </w:r>
    </w:p>
    <w:p>
      <w:pPr>
        <w:spacing w:before="40" w:after="120"/>
      </w:pPr>
      <w:r>
        <w:rPr>
          <w:b/>
          <w:color w:val="2E6DB4"/>
          <w:sz w:val="20"/>
        </w:rPr>
        <w:t>Lifecycle at a glance:  Identify (CMDB Health criteria)  →  Notify (automated)  →  Approve (explicit)  →  Advance notice  →  Implement.</w:t>
      </w:r>
    </w:p>
    <w:p>
      <w:pPr>
        <w:spacing w:before="200" w:after="80"/>
      </w:pPr>
      <w:r>
        <w:rPr>
          <w:b/>
          <w:color w:val="1F3A5F"/>
          <w:sz w:val="28"/>
        </w:rPr>
        <w:t>Next Steps</w:t>
      </w:r>
    </w:p>
    <w:p>
      <w:pPr>
        <w:pStyle w:val="ListNumber"/>
        <w:spacing w:after="60"/>
      </w:pPr>
      <w:r>
        <w:rPr>
          <w:b/>
        </w:rPr>
        <w:t>Define the CMDB Health &amp; retirement lifecycle policy</w:t>
      </w:r>
      <w:r>
        <w:t xml:space="preserve"> with stakeholder input (staleness criteria, automated notification, explicit approval, advance notice) and </w:t>
      </w:r>
      <w:r>
        <w:rPr>
          <w:b/>
        </w:rPr>
        <w:t>submit to the CCB for approval prior to development and implementation.</w:t>
      </w:r>
    </w:p>
    <w:p>
      <w:pPr>
        <w:pStyle w:val="ListNumber"/>
        <w:spacing w:after="60"/>
      </w:pPr>
      <w:r>
        <w:t>Continue restoring any record identified as a legitimate in-scope asset (40+ restored to date).</w:t>
      </w:r>
    </w:p>
    <w:p>
      <w:pPr>
        <w:pStyle w:val="ListNumber"/>
        <w:spacing w:after="60"/>
      </w:pPr>
      <w:r>
        <w:t xml:space="preserve">Continue stabilizing the </w:t>
      </w:r>
      <w:r>
        <w:rPr>
          <w:b/>
        </w:rPr>
        <w:t>in-scope CMDB baseline</w:t>
      </w:r>
      <w:r>
        <w:t>; broaden communication as it is confirmed.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