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0"/>
        </w:rPr>
        <w:t>PPL CMDB-CSDM — PI-3 Data Certification</w:t>
      </w:r>
    </w:p>
    <w:p>
      <w:r>
        <w:rPr>
          <w:color w:val="2E6DB4"/>
          <w:sz w:val="26"/>
        </w:rPr>
        <w:t>Feature 1517037 — Certify Databases — CMDB Data Certification</w:t>
      </w:r>
    </w:p>
    <w:p>
      <w:r>
        <w:rPr>
          <w:i/>
          <w:color w:val="6B7280"/>
          <w:sz w:val="18"/>
        </w:rPr>
        <w:t>DRAFT · 2026-07-27  ·  CO6 Obj 3 — Expand CI Data Certification Across All Major Classes  ·  Sprint 3.4 (ADO start); build 3.3–3.5, sign-off 3.6 IP  ·  CO6 due 2026-10-30</w:t>
      </w:r>
    </w:p>
    <w:p>
      <w:pPr>
        <w:spacing w:before="160" w:after="80"/>
      </w:pPr>
      <w:r>
        <w:rPr>
          <w:b/>
          <w:color w:val="1F3A5F"/>
          <w:sz w:val="32"/>
        </w:rPr>
        <w:t>Feature 1517037 — Stories &amp; Dependencies</w:t>
      </w:r>
    </w:p>
    <w:p>
      <w:pPr>
        <w:spacing w:after="60"/>
      </w:pPr>
      <w:r>
        <w:rPr>
          <w:b/>
        </w:rPr>
        <w:t>Certify Databases — CMDB Data Certification</w:t>
      </w:r>
    </w:p>
    <w:p>
      <w:pPr>
        <w:spacing w:after="60"/>
      </w:pPr>
      <w:r>
        <w:t>ADO start Sprint 3.4 · build 3.3–3.5 · sign-off 3.6 IP · CO6 due Oct 30 · Owner: M. Vazquez</w:t>
      </w:r>
    </w:p>
    <w:p>
      <w:pPr>
        <w:spacing w:before="60" w:after="60"/>
        <w:ind w:left="288"/>
      </w:pPr>
      <w:r>
        <w:rPr>
          <w:b/>
          <w:i/>
          <w:color w:val="6B7280"/>
        </w:rPr>
        <w:t>Status: REFERENCE / DRAFT</w:t>
      </w:r>
      <w:r>
        <w:rPr>
          <w:i/>
          <w:color w:val="6B7280"/>
        </w:rPr>
        <w:t xml:space="preserve"> — Manuel creates the real items in ADO under Feature 1517037 and reconciles IDs back here (ADO authoritative). Per definition-of-ready, create stories from the Feature "+" link, never standalone.  Third of four certification features. Same PI-2 BA pilot pattern as Computers and Servers, but on the </w:t>
      </w:r>
      <w:r>
        <w:rPr>
          <w:b/>
          <w:i/>
          <w:color w:val="6B7280"/>
        </w:rPr>
        <w:t>Oct 30</w:t>
      </w:r>
      <w:r>
        <w:rPr>
          <w:i/>
          <w:color w:val="6B7280"/>
        </w:rPr>
        <w:t xml:space="preserve"> gate (not Sep 30). See PI-3/pi3-data-certification-feature-breakdown for the full feature-level breakdown.</w:t>
      </w:r>
    </w:p>
    <w:p>
      <w:pPr>
        <w:spacing w:before="160" w:after="80"/>
      </w:pPr>
      <w:r>
        <w:rPr>
          <w:b/>
          <w:color w:val="2E6DB4"/>
          <w:sz w:val="26"/>
        </w:rPr>
        <w:t>Sprint reconciliation &amp; gate note (raise at Sprint Planning)</w:t>
      </w:r>
    </w:p>
    <w:p>
      <w:pPr>
        <w:spacing w:after="40"/>
        <w:ind w:left="360"/>
      </w:pPr>
      <w:r>
        <w:rPr>
          <w:color w:val="2E6DB4"/>
        </w:rPr>
        <w:t xml:space="preserve">•  </w:t>
      </w:r>
      <w:r>
        <w:rPr>
          <w:b/>
        </w:rPr>
        <w:t>Sprint:</w:t>
      </w:r>
      <w:r>
        <w:t xml:space="preserve"> ADO records Feature 1517037's start as </w:t>
      </w:r>
      <w:r>
        <w:rPr>
          <w:b/>
        </w:rPr>
        <w:t>3.4 (Sep 16)</w:t>
      </w:r>
      <w:r>
        <w:t xml:space="preserve">; the PI-3/pi3-data-certification-feature-breakdown shapes it </w:t>
      </w:r>
      <w:r>
        <w:rPr>
          <w:b/>
        </w:rPr>
        <w:t>3.3 → 3.5</w:t>
      </w:r>
      <w:r>
        <w:t xml:space="preserve"> with sign-off in </w:t>
      </w:r>
      <w:r>
        <w:rPr>
          <w:b/>
        </w:rPr>
        <w:t>3.6 IP</w:t>
      </w:r>
      <w:r>
        <w:t xml:space="preserve">. Process-flow (DB-1) can start in 3.3; build/run land 3.4–3.5; training/validation complete in the IP iteration. The </w:t>
      </w:r>
      <w:r>
        <w:rPr>
          <w:b/>
        </w:rPr>
        <w:t>test code freeze (Aug 15)</w:t>
      </w:r>
      <w:r>
        <w:t xml:space="preserve"> is long past — no freeze constraint applies to this feature.</w:t>
      </w:r>
    </w:p>
    <w:p>
      <w:pPr>
        <w:spacing w:after="40"/>
        <w:ind w:left="360"/>
      </w:pPr>
      <w:r>
        <w:rPr>
          <w:color w:val="2E6DB4"/>
        </w:rPr>
        <w:t xml:space="preserve">•  </w:t>
      </w:r>
      <w:r>
        <w:rPr>
          <w:b/>
        </w:rPr>
        <w:t>Gate date open item:</w:t>
      </w:r>
      <w:r>
        <w:t xml:space="preserve"> pi3-objectives and CO6 show </w:t>
      </w:r>
      <w:r>
        <w:rPr>
          <w:b/>
        </w:rPr>
        <w:t>Oct 30</w:t>
      </w:r>
      <w:r>
        <w:t xml:space="preserve"> (3 days after PI-3 ends Oct 27); the objectives deck says </w:t>
      </w:r>
      <w:r>
        <w:rPr>
          <w:b/>
        </w:rPr>
        <w:t>Oct 27</w:t>
      </w:r>
      <w:r>
        <w:t xml:space="preserve">. Build must be </w:t>
      </w:r>
      <w:r>
        <w:rPr>
          <w:b/>
        </w:rPr>
        <w:t>done by end of Sprint 3.5 (Oct 13)</w:t>
      </w:r>
      <w:r>
        <w:t>, leaving 3.6 IP (Oct 14–27) as validation/training buffer ahead of the external date. Confirm the gate date at planning.</w:t>
      </w:r>
    </w:p>
    <w:p>
      <w:pPr>
        <w:spacing w:before="160" w:after="80"/>
      </w:pPr>
      <w:r>
        <w:rPr>
          <w:b/>
          <w:color w:val="2E6DB4"/>
          <w:sz w:val="26"/>
        </w:rPr>
        <w:t>Database starting position (why this feature is not a straight clone)</w:t>
      </w:r>
    </w:p>
    <w:p>
      <w:pPr>
        <w:spacing w:after="40"/>
        <w:ind w:left="360"/>
      </w:pPr>
      <w:r>
        <w:rPr>
          <w:color w:val="2E6DB4"/>
        </w:rPr>
        <w:t xml:space="preserve">•  </w:t>
      </w:r>
      <w:r>
        <w:rPr>
          <w:b/>
        </w:rPr>
        <w:t>Trustworthy data is the precondition, and it's at risk.</w:t>
      </w:r>
      <w:r>
        <w:t xml:space="preserve"> Certification attests that data is correct; for Databases the underlying discovery data quality is threatened by the </w:t>
      </w:r>
      <w:r>
        <w:rPr>
          <w:b/>
        </w:rPr>
        <w:t>Oracle / Kentucky visibility gap</w:t>
      </w:r>
      <w:r>
        <w:t xml:space="preserve"> (RAID) and DB app-probe credential coverage (1444864). Certifying against unreliable data is meaningless → </w:t>
      </w:r>
      <w:r>
        <w:rPr>
          <w:b/>
        </w:rPr>
        <w:t>DEP-4</w:t>
      </w:r>
      <w:r>
        <w:t>.</w:t>
      </w:r>
    </w:p>
    <w:p>
      <w:pPr>
        <w:spacing w:after="40"/>
        <w:ind w:left="360"/>
      </w:pPr>
      <w:r>
        <w:rPr>
          <w:color w:val="2E6DB4"/>
        </w:rPr>
        <w:t xml:space="preserve">•  </w:t>
      </w:r>
      <w:r>
        <w:rPr>
          <w:b/>
        </w:rPr>
        <w:t>The attribute set is contested (blocking).</w:t>
      </w:r>
      <w:r>
        <w:t xml:space="preserve"> The Database managed-attribute slide (5 fields) and the audit dashboard (spike 1480113) overlap on only </w:t>
      </w:r>
      <w:r>
        <w:rPr>
          <w:b/>
        </w:rPr>
        <w:t>3 of 8</w:t>
      </w:r>
      <w:r>
        <w:t xml:space="preserve"> fields — the dashboard's two worst gaps (Value Stream 100%, Approval Group ~99.9%) are not on the slide. Certifying off the wrong set makes the KPI and the governance report measure different things → </w:t>
      </w:r>
      <w:r>
        <w:rPr>
          <w:b/>
        </w:rPr>
        <w:t>DEP-3</w:t>
      </w:r>
      <w:r>
        <w:t>.</w:t>
      </w:r>
    </w:p>
    <w:p>
      <w:pPr>
        <w:spacing w:after="40"/>
        <w:ind w:left="360"/>
      </w:pPr>
      <w:r>
        <w:rPr>
          <w:color w:val="2E6DB4"/>
        </w:rPr>
        <w:t xml:space="preserve">•  </w:t>
      </w:r>
      <w:r>
        <w:rPr>
          <w:b/>
        </w:rPr>
        <w:t>Dependent identity.</w:t>
      </w:r>
      <w:r>
        <w:t xml:space="preserve"> DB instances are identified in the context of their </w:t>
      </w:r>
      <w:r>
        <w:rPr>
          <w:b/>
        </w:rPr>
        <w:t>host Server</w:t>
      </w:r>
      <w:r>
        <w:t xml:space="preserve"> — certification scope inherits whatever server-identity issues exist upstream.</w:t>
      </w:r>
    </w:p>
    <w:p>
      <w:pPr>
        <w:spacing w:before="160" w:after="80"/>
      </w:pPr>
      <w:r>
        <w:rPr>
          <w:b/>
          <w:color w:val="2E6DB4"/>
          <w:sz w:val="26"/>
        </w:rPr>
        <w:t>CO6 Acceptance Criteria this feature delivers (Oct 30)</w:t>
      </w:r>
    </w:p>
    <w:p>
      <w:pPr>
        <w:spacing w:after="60"/>
      </w:pPr>
      <w:r>
        <w:t>From PI-3/pi3-objectives — Obj 3 (CO6 §4), Oct 30 gate:</w:t>
      </w:r>
    </w:p>
    <w:p>
      <w:pPr>
        <w:spacing w:before="60" w:after="60"/>
        <w:ind w:left="288"/>
      </w:pPr>
      <w:r>
        <w:rPr>
          <w:i/>
          <w:color w:val="6B7280"/>
        </w:rPr>
        <w:t xml:space="preserve">*Data certification process for </w:t>
      </w:r>
      <w:r>
        <w:rPr>
          <w:b/>
          <w:i/>
          <w:color w:val="6B7280"/>
        </w:rPr>
        <w:t>Databases</w:t>
      </w:r>
      <w:r>
        <w:rPr>
          <w:i/>
          <w:color w:val="6B7280"/>
        </w:rPr>
        <w:t>: end-to-end process documented, technical build to PROD, dashboards live, training delivered.*</w:t>
      </w:r>
    </w:p>
    <w:p>
      <w:pPr>
        <w:spacing w:after="60"/>
      </w:pPr>
      <w:r>
        <w:t>"Certified" = all four artifacts present for the Database Instance class:</w:t>
      </w:r>
    </w:p>
    <w:tbl>
      <w:tblPr>
        <w:tblStyle w:val="LightGrid-Accent1"/>
        <w:tblW w:type="auto" w:w="0"/>
        <w:jc w:val="center"/>
        <w:tblLook w:firstColumn="1" w:firstRow="1" w:lastColumn="0" w:lastRow="0" w:noHBand="0" w:noVBand="1" w:val="04A0"/>
      </w:tblPr>
      <w:tblGrid>
        <w:gridCol w:w="4968"/>
        <w:gridCol w:w="4968"/>
      </w:tblGrid>
      <w:tr>
        <w:tc>
          <w:tcPr>
            <w:tcW w:type="dxa" w:w="4968"/>
          </w:tcPr>
          <w:p>
            <w:r>
              <w:rPr>
                <w:b/>
                <w:sz w:val="17"/>
              </w:rPr>
            </w:r>
            <w:r>
              <w:rPr>
                <w:b/>
                <w:sz w:val="17"/>
              </w:rPr>
              <w:t>Artifact</w:t>
            </w:r>
          </w:p>
        </w:tc>
        <w:tc>
          <w:tcPr>
            <w:tcW w:type="dxa" w:w="4968"/>
          </w:tcPr>
          <w:p>
            <w:r>
              <w:rPr>
                <w:b/>
                <w:sz w:val="17"/>
              </w:rPr>
            </w:r>
            <w:r>
              <w:rPr>
                <w:b/>
                <w:sz w:val="17"/>
              </w:rPr>
              <w:t>Delivered by</w:t>
            </w:r>
          </w:p>
        </w:tc>
      </w:tr>
      <w:tr>
        <w:tc>
          <w:tcPr>
            <w:tcW w:type="dxa" w:w="4968"/>
          </w:tcPr>
          <w:p>
            <w:r>
              <w:rPr>
                <w:sz w:val="17"/>
              </w:rPr>
            </w:r>
            <w:r>
              <w:rPr>
                <w:sz w:val="17"/>
              </w:rPr>
              <w:t>Documented process flow</w:t>
            </w:r>
          </w:p>
        </w:tc>
        <w:tc>
          <w:tcPr>
            <w:tcW w:type="dxa" w:w="4968"/>
          </w:tcPr>
          <w:p>
            <w:r>
              <w:rPr>
                <w:sz w:val="17"/>
              </w:rPr>
            </w:r>
            <w:r>
              <w:rPr>
                <w:sz w:val="17"/>
              </w:rPr>
              <w:t>DB-1</w:t>
            </w:r>
          </w:p>
        </w:tc>
      </w:tr>
      <w:tr>
        <w:tc>
          <w:tcPr>
            <w:tcW w:type="dxa" w:w="4968"/>
          </w:tcPr>
          <w:p>
            <w:r>
              <w:rPr>
                <w:sz w:val="17"/>
              </w:rPr>
            </w:r>
            <w:r>
              <w:rPr>
                <w:sz w:val="17"/>
              </w:rPr>
              <w:t>Technical build in PROD</w:t>
            </w:r>
          </w:p>
        </w:tc>
        <w:tc>
          <w:tcPr>
            <w:tcW w:type="dxa" w:w="4968"/>
          </w:tcPr>
          <w:p>
            <w:r>
              <w:rPr>
                <w:sz w:val="17"/>
              </w:rPr>
            </w:r>
            <w:r>
              <w:rPr>
                <w:sz w:val="17"/>
              </w:rPr>
              <w:t>DB-2</w:t>
            </w:r>
          </w:p>
        </w:tc>
      </w:tr>
      <w:tr>
        <w:tc>
          <w:tcPr>
            <w:tcW w:type="dxa" w:w="4968"/>
          </w:tcPr>
          <w:p>
            <w:r>
              <w:rPr>
                <w:sz w:val="17"/>
              </w:rPr>
            </w:r>
            <w:r>
              <w:rPr>
                <w:sz w:val="17"/>
              </w:rPr>
              <w:t>Tracking dashboard live</w:t>
            </w:r>
          </w:p>
        </w:tc>
        <w:tc>
          <w:tcPr>
            <w:tcW w:type="dxa" w:w="4968"/>
          </w:tcPr>
          <w:p>
            <w:r>
              <w:rPr>
                <w:sz w:val="17"/>
              </w:rPr>
            </w:r>
            <w:r>
              <w:rPr>
                <w:sz w:val="17"/>
              </w:rPr>
              <w:t>DB-3</w:t>
            </w:r>
          </w:p>
        </w:tc>
      </w:tr>
      <w:tr>
        <w:tc>
          <w:tcPr>
            <w:tcW w:type="dxa" w:w="4968"/>
          </w:tcPr>
          <w:p>
            <w:r>
              <w:rPr>
                <w:sz w:val="17"/>
              </w:rPr>
            </w:r>
            <w:r>
              <w:rPr>
                <w:sz w:val="17"/>
              </w:rPr>
              <w:t>Certification cycle executed + monitored</w:t>
            </w:r>
          </w:p>
        </w:tc>
        <w:tc>
          <w:tcPr>
            <w:tcW w:type="dxa" w:w="4968"/>
          </w:tcPr>
          <w:p>
            <w:r>
              <w:rPr>
                <w:sz w:val="17"/>
              </w:rPr>
            </w:r>
            <w:r>
              <w:rPr>
                <w:sz w:val="17"/>
              </w:rPr>
              <w:t>DB-4</w:t>
            </w:r>
          </w:p>
        </w:tc>
      </w:tr>
      <w:tr>
        <w:tc>
          <w:tcPr>
            <w:tcW w:type="dxa" w:w="4968"/>
          </w:tcPr>
          <w:p>
            <w:r>
              <w:rPr>
                <w:sz w:val="17"/>
              </w:rPr>
            </w:r>
            <w:r>
              <w:rPr>
                <w:sz w:val="17"/>
              </w:rPr>
              <w:t>Training delivered</w:t>
            </w:r>
          </w:p>
        </w:tc>
        <w:tc>
          <w:tcPr>
            <w:tcW w:type="dxa" w:w="4968"/>
          </w:tcPr>
          <w:p>
            <w:r>
              <w:rPr>
                <w:sz w:val="17"/>
              </w:rPr>
            </w:r>
            <w:r>
              <w:rPr>
                <w:sz w:val="17"/>
              </w:rPr>
              <w:t>DB-5</w:t>
            </w:r>
          </w:p>
        </w:tc>
      </w:tr>
    </w:tbl>
    <w:p>
      <w:pPr>
        <w:spacing w:after="40"/>
      </w:pPr>
    </w:p>
    <w:p>
      <w:pPr>
        <w:spacing w:before="160" w:after="80"/>
      </w:pPr>
      <w:r>
        <w:rPr>
          <w:b/>
          <w:color w:val="2E6DB4"/>
          <w:sz w:val="26"/>
        </w:rPr>
        <w:t>ADO item reconciliation note</w:t>
      </w:r>
    </w:p>
    <w:p>
      <w:pPr>
        <w:spacing w:after="60"/>
      </w:pPr>
      <w:r>
        <w:t>Clones the PI-2 BA certification pilot pattern. Reusable story shapes (from the feature breakdown):</w:t>
      </w:r>
    </w:p>
    <w:tbl>
      <w:tblPr>
        <w:tblStyle w:val="LightGrid-Accent1"/>
        <w:tblW w:type="auto" w:w="0"/>
        <w:jc w:val="center"/>
        <w:tblLook w:firstColumn="1" w:firstRow="1" w:lastColumn="0" w:lastRow="0" w:noHBand="0" w:noVBand="1" w:val="04A0"/>
      </w:tblPr>
      <w:tblGrid>
        <w:gridCol w:w="3312"/>
        <w:gridCol w:w="3312"/>
        <w:gridCol w:w="3312"/>
      </w:tblGrid>
      <w:tr>
        <w:tc>
          <w:tcPr>
            <w:tcW w:type="dxa" w:w="3312"/>
          </w:tcPr>
          <w:p>
            <w:r>
              <w:rPr>
                <w:b/>
                <w:sz w:val="17"/>
              </w:rPr>
            </w:r>
            <w:r>
              <w:rPr>
                <w:b/>
                <w:sz w:val="17"/>
              </w:rPr>
              <w:t>PI-2 pilot item</w:t>
            </w:r>
          </w:p>
        </w:tc>
        <w:tc>
          <w:tcPr>
            <w:tcW w:type="dxa" w:w="3312"/>
          </w:tcPr>
          <w:p>
            <w:r>
              <w:rPr>
                <w:b/>
                <w:sz w:val="17"/>
              </w:rPr>
            </w:r>
            <w:r>
              <w:rPr>
                <w:b/>
                <w:sz w:val="17"/>
              </w:rPr>
              <w:t>Shape it provides</w:t>
            </w:r>
          </w:p>
        </w:tc>
        <w:tc>
          <w:tcPr>
            <w:tcW w:type="dxa" w:w="3312"/>
          </w:tcPr>
          <w:p>
            <w:r>
              <w:rPr>
                <w:b/>
                <w:sz w:val="17"/>
              </w:rPr>
            </w:r>
            <w:r>
              <w:rPr>
                <w:b/>
                <w:sz w:val="17"/>
              </w:rPr>
              <w:t>Clones to</w:t>
            </w:r>
          </w:p>
        </w:tc>
      </w:tr>
      <w:tr>
        <w:tc>
          <w:tcPr>
            <w:tcW w:type="dxa" w:w="3312"/>
          </w:tcPr>
          <w:p>
            <w:r>
              <w:rPr>
                <w:sz w:val="17"/>
              </w:rPr>
            </w:r>
            <w:r>
              <w:rPr>
                <w:sz w:val="17"/>
              </w:rPr>
              <w:t>1480113</w:t>
            </w:r>
          </w:p>
        </w:tc>
        <w:tc>
          <w:tcPr>
            <w:tcW w:type="dxa" w:w="3312"/>
          </w:tcPr>
          <w:p>
            <w:r>
              <w:rPr>
                <w:sz w:val="17"/>
              </w:rPr>
            </w:r>
            <w:r>
              <w:rPr>
                <w:sz w:val="17"/>
              </w:rPr>
              <w:t>Database audit-dashboard scope + gap-remediation plan (</w:t>
            </w:r>
            <w:r>
              <w:rPr>
                <w:b/>
                <w:sz w:val="17"/>
              </w:rPr>
              <w:t>anchor</w:t>
            </w:r>
            <w:r>
              <w:rPr>
                <w:sz w:val="17"/>
              </w:rPr>
              <w:t>)</w:t>
            </w:r>
          </w:p>
        </w:tc>
        <w:tc>
          <w:tcPr>
            <w:tcW w:type="dxa" w:w="3312"/>
          </w:tcPr>
          <w:p>
            <w:r>
              <w:rPr>
                <w:sz w:val="17"/>
              </w:rPr>
            </w:r>
            <w:r>
              <w:rPr>
                <w:sz w:val="17"/>
              </w:rPr>
              <w:t>Input to DB-1 (see DEP-1)</w:t>
            </w:r>
          </w:p>
        </w:tc>
      </w:tr>
      <w:tr>
        <w:tc>
          <w:tcPr>
            <w:tcW w:type="dxa" w:w="3312"/>
          </w:tcPr>
          <w:p>
            <w:r>
              <w:rPr>
                <w:sz w:val="17"/>
              </w:rPr>
            </w:r>
            <w:r>
              <w:rPr>
                <w:sz w:val="17"/>
              </w:rPr>
              <w:t>1480098</w:t>
            </w:r>
          </w:p>
        </w:tc>
        <w:tc>
          <w:tcPr>
            <w:tcW w:type="dxa" w:w="3312"/>
          </w:tcPr>
          <w:p>
            <w:r>
              <w:rPr>
                <w:sz w:val="17"/>
              </w:rPr>
            </w:r>
            <w:r>
              <w:rPr>
                <w:sz w:val="17"/>
              </w:rPr>
              <w:t>Data Dictionary: Databases (closes CO5 gap G1)</w:t>
            </w:r>
          </w:p>
        </w:tc>
        <w:tc>
          <w:tcPr>
            <w:tcW w:type="dxa" w:w="3312"/>
          </w:tcPr>
          <w:p>
            <w:r>
              <w:rPr>
                <w:sz w:val="17"/>
              </w:rPr>
            </w:r>
            <w:r>
              <w:rPr>
                <w:sz w:val="17"/>
              </w:rPr>
              <w:t>Attribute-set source (DEP-2)</w:t>
            </w:r>
          </w:p>
        </w:tc>
      </w:tr>
      <w:tr>
        <w:tc>
          <w:tcPr>
            <w:tcW w:type="dxa" w:w="3312"/>
          </w:tcPr>
          <w:p>
            <w:r>
              <w:rPr>
                <w:sz w:val="17"/>
              </w:rPr>
            </w:r>
            <w:r>
              <w:rPr>
                <w:sz w:val="17"/>
              </w:rPr>
              <w:t>1402976</w:t>
            </w:r>
          </w:p>
        </w:tc>
        <w:tc>
          <w:tcPr>
            <w:tcW w:type="dxa" w:w="3312"/>
          </w:tcPr>
          <w:p>
            <w:r>
              <w:rPr>
                <w:sz w:val="17"/>
              </w:rPr>
            </w:r>
            <w:r>
              <w:rPr>
                <w:sz w:val="17"/>
              </w:rPr>
              <w:t>Execute certification policies</w:t>
            </w:r>
          </w:p>
        </w:tc>
        <w:tc>
          <w:tcPr>
            <w:tcW w:type="dxa" w:w="3312"/>
          </w:tcPr>
          <w:p>
            <w:r>
              <w:rPr>
                <w:sz w:val="17"/>
              </w:rPr>
            </w:r>
            <w:r>
              <w:rPr>
                <w:sz w:val="17"/>
              </w:rPr>
              <w:t>DB-2 / DB-4</w:t>
            </w:r>
          </w:p>
        </w:tc>
      </w:tr>
      <w:tr>
        <w:tc>
          <w:tcPr>
            <w:tcW w:type="dxa" w:w="3312"/>
          </w:tcPr>
          <w:p>
            <w:r>
              <w:rPr>
                <w:sz w:val="17"/>
              </w:rPr>
            </w:r>
            <w:r>
              <w:rPr>
                <w:sz w:val="17"/>
              </w:rPr>
              <w:t>1402980</w:t>
            </w:r>
          </w:p>
        </w:tc>
        <w:tc>
          <w:tcPr>
            <w:tcW w:type="dxa" w:w="3312"/>
          </w:tcPr>
          <w:p>
            <w:r>
              <w:rPr>
                <w:sz w:val="17"/>
              </w:rPr>
            </w:r>
            <w:r>
              <w:rPr>
                <w:sz w:val="17"/>
              </w:rPr>
              <w:t>Monitor completeness</w:t>
            </w:r>
          </w:p>
        </w:tc>
        <w:tc>
          <w:tcPr>
            <w:tcW w:type="dxa" w:w="3312"/>
          </w:tcPr>
          <w:p>
            <w:r>
              <w:rPr>
                <w:sz w:val="17"/>
              </w:rPr>
            </w:r>
            <w:r>
              <w:rPr>
                <w:sz w:val="17"/>
              </w:rPr>
              <w:t>DB-4</w:t>
            </w:r>
          </w:p>
        </w:tc>
      </w:tr>
      <w:tr>
        <w:tc>
          <w:tcPr>
            <w:tcW w:type="dxa" w:w="3312"/>
          </w:tcPr>
          <w:p>
            <w:r>
              <w:rPr>
                <w:sz w:val="17"/>
              </w:rPr>
            </w:r>
            <w:r>
              <w:rPr>
                <w:sz w:val="17"/>
              </w:rPr>
              <w:t>1402962 / 1402984</w:t>
            </w:r>
          </w:p>
        </w:tc>
        <w:tc>
          <w:tcPr>
            <w:tcW w:type="dxa" w:w="3312"/>
          </w:tcPr>
          <w:p>
            <w:r>
              <w:rPr>
                <w:sz w:val="17"/>
              </w:rPr>
            </w:r>
            <w:r>
              <w:rPr>
                <w:sz w:val="17"/>
              </w:rPr>
              <w:t>Kick-off / training / office hours</w:t>
            </w:r>
          </w:p>
        </w:tc>
        <w:tc>
          <w:tcPr>
            <w:tcW w:type="dxa" w:w="3312"/>
          </w:tcPr>
          <w:p>
            <w:r>
              <w:rPr>
                <w:sz w:val="17"/>
              </w:rPr>
            </w:r>
            <w:r>
              <w:rPr>
                <w:sz w:val="17"/>
              </w:rPr>
              <w:t>DB-5</w:t>
            </w:r>
          </w:p>
        </w:tc>
      </w:tr>
      <w:tr>
        <w:tc>
          <w:tcPr>
            <w:tcW w:type="dxa" w:w="3312"/>
          </w:tcPr>
          <w:p>
            <w:r>
              <w:rPr>
                <w:sz w:val="17"/>
              </w:rPr>
            </w:r>
            <w:r>
              <w:rPr>
                <w:sz w:val="17"/>
              </w:rPr>
              <w:t>1402727</w:t>
            </w:r>
          </w:p>
        </w:tc>
        <w:tc>
          <w:tcPr>
            <w:tcW w:type="dxa" w:w="3312"/>
          </w:tcPr>
          <w:p>
            <w:r>
              <w:rPr>
                <w:sz w:val="17"/>
              </w:rPr>
            </w:r>
            <w:r>
              <w:rPr>
                <w:sz w:val="17"/>
              </w:rPr>
              <w:t>Dashboard</w:t>
            </w:r>
          </w:p>
        </w:tc>
        <w:tc>
          <w:tcPr>
            <w:tcW w:type="dxa" w:w="3312"/>
          </w:tcPr>
          <w:p>
            <w:r>
              <w:rPr>
                <w:sz w:val="17"/>
              </w:rPr>
            </w:r>
            <w:r>
              <w:rPr>
                <w:sz w:val="17"/>
              </w:rPr>
              <w:t>DB-3</w:t>
            </w:r>
          </w:p>
        </w:tc>
      </w:tr>
    </w:tbl>
    <w:p>
      <w:pPr>
        <w:spacing w:after="40"/>
      </w:pPr>
    </w:p>
    <w:p>
      <w:pPr>
        <w:spacing w:after="60"/>
      </w:pPr>
      <w:r>
        <w:t xml:space="preserve">Stories DB-1 through DB-5 are </w:t>
      </w:r>
      <w:r>
        <w:rPr>
          <w:b/>
        </w:rPr>
        <w:t>net-new</w:t>
      </w:r>
      <w:r>
        <w:t xml:space="preserve"> for the Database Instance class — pilot shapes re-scoped to </w:t>
      </w:r>
      <w:r>
        <w:rPr>
          <w:rFonts w:ascii="Consolas" w:hAnsi="Consolas"/>
          <w:sz w:val="18"/>
        </w:rPr>
        <w:t>cmdb_ci_db_instance</w:t>
      </w:r>
      <w:r>
        <w:t xml:space="preserve"> (Oracle + MS SQL child classes inherit additively).</w:t>
      </w:r>
    </w:p>
    <w:p>
      <w:pPr>
        <w:spacing w:before="160" w:after="80"/>
      </w:pPr>
      <w:r>
        <w:rPr>
          <w:b/>
          <w:color w:val="2E6DB4"/>
          <w:sz w:val="26"/>
        </w:rPr>
        <w:t>Stories (5)</w:t>
      </w:r>
    </w:p>
    <w:p>
      <w:r>
        <w:br w:type="page"/>
      </w:r>
    </w:p>
    <w:p>
      <w:pPr>
        <w:spacing w:before="0" w:after="80"/>
      </w:pPr>
      <w:r>
        <w:rPr>
          <w:b/>
          <w:color w:val="1F3A5F"/>
          <w:sz w:val="28"/>
        </w:rPr>
        <w:t>DB-1 · [User Story] Document the Database Data Certification process flow</w:t>
      </w:r>
    </w:p>
    <w:tbl>
      <w:tblPr>
        <w:tblStyle w:val="LightGrid-Accent1"/>
        <w:tblW w:type="auto" w:w="0"/>
        <w:jc w:val="center"/>
        <w:tblLook w:firstColumn="1" w:firstRow="1" w:lastColumn="0" w:lastRow="0" w:noHBand="0" w:noVBand="1" w:val="04A0"/>
      </w:tblPr>
      <w:tblGrid>
        <w:gridCol w:w="4968"/>
        <w:gridCol w:w="4968"/>
      </w:tblGrid>
      <w:tr>
        <w:tc>
          <w:tcPr>
            <w:tcW w:type="dxa" w:w="4968"/>
          </w:tcPr>
          <w:p>
            <w:r>
              <w:rPr>
                <w:b/>
                <w:sz w:val="17"/>
              </w:rPr>
            </w:r>
            <w:r>
              <w:rPr>
                <w:b/>
                <w:sz w:val="17"/>
              </w:rPr>
              <w:t>Field</w:t>
            </w:r>
          </w:p>
        </w:tc>
        <w:tc>
          <w:tcPr>
            <w:tcW w:type="dxa" w:w="4968"/>
          </w:tcPr>
          <w:p>
            <w:r>
              <w:rPr>
                <w:b/>
                <w:sz w:val="17"/>
              </w:rPr>
            </w:r>
            <w:r>
              <w:rPr>
                <w:b/>
                <w:sz w:val="17"/>
              </w:rPr>
              <w:t>Value</w:t>
            </w:r>
          </w:p>
        </w:tc>
      </w:tr>
      <w:tr>
        <w:tc>
          <w:tcPr>
            <w:tcW w:type="dxa" w:w="4968"/>
          </w:tcPr>
          <w:p>
            <w:r>
              <w:rPr>
                <w:sz w:val="17"/>
              </w:rPr>
            </w:r>
            <w:r>
              <w:rPr>
                <w:sz w:val="17"/>
              </w:rPr>
              <w:t>Type</w:t>
            </w:r>
          </w:p>
        </w:tc>
        <w:tc>
          <w:tcPr>
            <w:tcW w:type="dxa" w:w="4968"/>
          </w:tcPr>
          <w:p>
            <w:r>
              <w:rPr>
                <w:sz w:val="17"/>
              </w:rPr>
            </w:r>
            <w:r>
              <w:rPr>
                <w:sz w:val="17"/>
              </w:rPr>
              <w:t>User Story</w:t>
            </w:r>
          </w:p>
        </w:tc>
      </w:tr>
      <w:tr>
        <w:tc>
          <w:tcPr>
            <w:tcW w:type="dxa" w:w="4968"/>
          </w:tcPr>
          <w:p>
            <w:r>
              <w:rPr>
                <w:sz w:val="17"/>
              </w:rPr>
            </w:r>
            <w:r>
              <w:rPr>
                <w:sz w:val="17"/>
              </w:rPr>
              <w:t>Parent feature</w:t>
            </w:r>
          </w:p>
        </w:tc>
        <w:tc>
          <w:tcPr>
            <w:tcW w:type="dxa" w:w="4968"/>
          </w:tcPr>
          <w:p>
            <w:r>
              <w:rPr>
                <w:sz w:val="17"/>
              </w:rPr>
            </w:r>
            <w:r>
              <w:rPr>
                <w:sz w:val="17"/>
              </w:rPr>
              <w:t>1517037</w:t>
            </w:r>
          </w:p>
        </w:tc>
      </w:tr>
      <w:tr>
        <w:tc>
          <w:tcPr>
            <w:tcW w:type="dxa" w:w="4968"/>
          </w:tcPr>
          <w:p>
            <w:r>
              <w:rPr>
                <w:sz w:val="17"/>
              </w:rPr>
            </w:r>
            <w:r>
              <w:rPr>
                <w:sz w:val="17"/>
              </w:rPr>
              <w:t>Sprint</w:t>
            </w:r>
          </w:p>
        </w:tc>
        <w:tc>
          <w:tcPr>
            <w:tcW w:type="dxa" w:w="4968"/>
          </w:tcPr>
          <w:p>
            <w:r>
              <w:rPr>
                <w:sz w:val="17"/>
              </w:rPr>
            </w:r>
            <w:r>
              <w:rPr>
                <w:sz w:val="17"/>
              </w:rPr>
              <w:t>3.3</w:t>
            </w:r>
          </w:p>
        </w:tc>
      </w:tr>
      <w:tr>
        <w:tc>
          <w:tcPr>
            <w:tcW w:type="dxa" w:w="4968"/>
          </w:tcPr>
          <w:p>
            <w:r>
              <w:rPr>
                <w:sz w:val="17"/>
              </w:rPr>
            </w:r>
            <w:r>
              <w:rPr>
                <w:sz w:val="17"/>
              </w:rPr>
              <w:t>Owner</w:t>
            </w:r>
          </w:p>
        </w:tc>
        <w:tc>
          <w:tcPr>
            <w:tcW w:type="dxa" w:w="4968"/>
          </w:tcPr>
          <w:p>
            <w:r>
              <w:rPr>
                <w:sz w:val="17"/>
              </w:rPr>
            </w:r>
            <w:r>
              <w:rPr>
                <w:sz w:val="17"/>
              </w:rPr>
              <w:t>Bhushan Salsekar (confirm)</w:t>
            </w:r>
          </w:p>
        </w:tc>
      </w:tr>
      <w:tr>
        <w:tc>
          <w:tcPr>
            <w:tcW w:type="dxa" w:w="4968"/>
          </w:tcPr>
          <w:p>
            <w:r>
              <w:rPr>
                <w:sz w:val="17"/>
              </w:rPr>
            </w:r>
            <w:r>
              <w:rPr>
                <w:sz w:val="17"/>
              </w:rPr>
              <w:t>Points</w:t>
            </w:r>
          </w:p>
        </w:tc>
        <w:tc>
          <w:tcPr>
            <w:tcW w:type="dxa" w:w="4968"/>
          </w:tcPr>
          <w:p>
            <w:r>
              <w:rPr>
                <w:sz w:val="17"/>
              </w:rPr>
            </w:r>
            <w:r>
              <w:rPr>
                <w:sz w:val="17"/>
              </w:rPr>
              <w:t>TBD at refinement</w:t>
            </w:r>
          </w:p>
        </w:tc>
      </w:tr>
      <w:tr>
        <w:tc>
          <w:tcPr>
            <w:tcW w:type="dxa" w:w="4968"/>
          </w:tcPr>
          <w:p>
            <w:r>
              <w:rPr>
                <w:sz w:val="17"/>
              </w:rPr>
            </w:r>
            <w:r>
              <w:rPr>
                <w:sz w:val="17"/>
              </w:rPr>
              <w:t>ADO note</w:t>
            </w:r>
          </w:p>
        </w:tc>
        <w:tc>
          <w:tcPr>
            <w:tcW w:type="dxa" w:w="4968"/>
          </w:tcPr>
          <w:p>
            <w:r>
              <w:rPr>
                <w:sz w:val="17"/>
              </w:rPr>
            </w:r>
            <w:r>
              <w:rPr>
                <w:sz w:val="17"/>
              </w:rPr>
              <w:t>Net-new — clones the BA pilot process definition, re-scoped to Database</w:t>
            </w:r>
          </w:p>
        </w:tc>
      </w:tr>
      <w:tr>
        <w:tc>
          <w:tcPr>
            <w:tcW w:type="dxa" w:w="4968"/>
          </w:tcPr>
          <w:p>
            <w:r>
              <w:rPr>
                <w:sz w:val="17"/>
              </w:rPr>
            </w:r>
            <w:r>
              <w:rPr>
                <w:sz w:val="17"/>
              </w:rPr>
              <w:t>Depends on</w:t>
            </w:r>
          </w:p>
        </w:tc>
        <w:tc>
          <w:tcPr>
            <w:tcW w:type="dxa" w:w="4968"/>
          </w:tcPr>
          <w:p>
            <w:r>
              <w:rPr>
                <w:sz w:val="17"/>
              </w:rPr>
            </w:r>
            <w:r>
              <w:rPr>
                <w:sz w:val="17"/>
              </w:rPr>
              <w:t>DEP-1 (1480113 gap plan), DEP-3 (attribute set), DEP-5 (Class Manager)</w:t>
            </w:r>
          </w:p>
        </w:tc>
      </w:tr>
      <w:tr>
        <w:tc>
          <w:tcPr>
            <w:tcW w:type="dxa" w:w="4968"/>
          </w:tcPr>
          <w:p>
            <w:r>
              <w:rPr>
                <w:sz w:val="17"/>
              </w:rPr>
            </w:r>
            <w:r>
              <w:rPr>
                <w:sz w:val="17"/>
              </w:rPr>
              <w:t>Tags</w:t>
            </w:r>
          </w:p>
        </w:tc>
        <w:tc>
          <w:tcPr>
            <w:tcW w:type="dxa" w:w="4968"/>
          </w:tcPr>
          <w:p>
            <w:r>
              <w:rPr>
                <w:sz w:val="17"/>
              </w:rPr>
            </w:r>
            <w:r>
              <w:rPr>
                <w:rFonts w:ascii="Consolas" w:hAnsi="Consolas"/>
                <w:sz w:val="17"/>
              </w:rPr>
              <w:t>Data-Certification</w:t>
            </w:r>
            <w:r>
              <w:rPr>
                <w:sz w:val="17"/>
              </w:rPr>
              <w:t xml:space="preserve"> </w:t>
            </w:r>
            <w:r>
              <w:rPr>
                <w:rFonts w:ascii="Consolas" w:hAnsi="Consolas"/>
                <w:sz w:val="17"/>
              </w:rPr>
              <w:t>Database</w:t>
            </w:r>
            <w:r>
              <w:rPr>
                <w:sz w:val="17"/>
              </w:rPr>
              <w:t xml:space="preserve"> </w:t>
            </w:r>
            <w:r>
              <w:rPr>
                <w:rFonts w:ascii="Consolas" w:hAnsi="Consolas"/>
                <w:sz w:val="17"/>
              </w:rPr>
              <w:t>CO6-Obj3</w:t>
            </w:r>
          </w:p>
        </w:tc>
      </w:tr>
    </w:tbl>
    <w:p>
      <w:pPr>
        <w:spacing w:after="40"/>
      </w:pPr>
    </w:p>
    <w:p>
      <w:pPr>
        <w:spacing w:after="60"/>
      </w:pPr>
      <w:r>
        <w:rPr>
          <w:b/>
        </w:rPr>
        <w:t>As</w:t>
      </w:r>
      <w:r>
        <w:t xml:space="preserve"> the CMDB Configuration Management Process Owner,</w:t>
      </w:r>
    </w:p>
    <w:p>
      <w:pPr>
        <w:spacing w:after="60"/>
      </w:pPr>
      <w:r>
        <w:rPr>
          <w:b/>
        </w:rPr>
        <w:t>I want</w:t>
      </w:r>
      <w:r>
        <w:t xml:space="preserve"> the end-to-end Database data-certification process documented — trigger, attestation steps, roles, escalation, and remediation path — built off the 1480113 gap-remediation plan,</w:t>
      </w:r>
    </w:p>
    <w:p>
      <w:pPr>
        <w:spacing w:after="60"/>
      </w:pPr>
      <w:r>
        <w:rPr>
          <w:b/>
        </w:rPr>
        <w:t>So that</w:t>
      </w:r>
      <w:r>
        <w:t xml:space="preserve"> the certification campaign for the Database Instance class runs on an agreed, repeatable workflow before any PROD configuration is built.</w:t>
      </w:r>
    </w:p>
    <w:p>
      <w:pPr>
        <w:spacing w:after="60"/>
      </w:pPr>
      <w:r>
        <w:rPr>
          <w:b/>
        </w:rPr>
        <w:t>Acceptance criteria:</w:t>
      </w:r>
    </w:p>
    <w:p>
      <w:pPr>
        <w:spacing w:after="40"/>
        <w:ind w:left="360"/>
      </w:pPr>
      <w:r>
        <w:rPr>
          <w:color w:val="2E6DB4"/>
        </w:rPr>
        <w:t xml:space="preserve">☐  </w:t>
      </w:r>
      <w:r>
        <w:t>Process flow diagram covers the full cycle: campaign trigger → owner attestation → gap identification → remediation → re-attestation → sign-off</w:t>
      </w:r>
    </w:p>
    <w:p>
      <w:pPr>
        <w:spacing w:after="40"/>
        <w:ind w:left="360"/>
      </w:pPr>
      <w:r>
        <w:rPr>
          <w:color w:val="2E6DB4"/>
        </w:rPr>
        <w:t xml:space="preserve">☐  </w:t>
      </w:r>
      <w:r>
        <w:t>Roles defined at each step (CI Owner, Technical Owner Group, Support Group, Process Owner) using the delivered Data Dictionary field mappings (</w:t>
      </w:r>
      <w:r>
        <w:rPr>
          <w:rFonts w:ascii="Consolas" w:hAnsi="Consolas"/>
          <w:sz w:val="18"/>
        </w:rPr>
        <w:t>managed_by</w:t>
      </w:r>
      <w:r>
        <w:t xml:space="preserve">, </w:t>
      </w:r>
      <w:r>
        <w:rPr>
          <w:rFonts w:ascii="Consolas" w:hAnsi="Consolas"/>
          <w:sz w:val="18"/>
        </w:rPr>
        <w:t>managed_by_group</w:t>
      </w:r>
      <w:r>
        <w:t xml:space="preserve">, </w:t>
      </w:r>
      <w:r>
        <w:rPr>
          <w:rFonts w:ascii="Consolas" w:hAnsi="Consolas"/>
          <w:sz w:val="18"/>
        </w:rPr>
        <w:t>support_group</w:t>
      </w:r>
      <w:r>
        <w:t>)</w:t>
      </w:r>
    </w:p>
    <w:p>
      <w:pPr>
        <w:spacing w:after="40"/>
        <w:ind w:left="360"/>
      </w:pPr>
      <w:r>
        <w:rPr>
          <w:color w:val="2E6DB4"/>
        </w:rPr>
        <w:t xml:space="preserve">☐  </w:t>
      </w:r>
      <w:r>
        <w:t xml:space="preserve">Attested attribute set for Database confirmed against the </w:t>
      </w:r>
      <w:r>
        <w:rPr>
          <w:b/>
        </w:rPr>
        <w:t>reconciled</w:t>
      </w:r>
      <w:r>
        <w:t xml:space="preserve"> set (DEP-3) and the 1480113 gap plan — no drift between certification, dictionary, and audit dashboard</w:t>
      </w:r>
    </w:p>
    <w:p>
      <w:pPr>
        <w:spacing w:after="40"/>
        <w:ind w:left="360"/>
      </w:pPr>
      <w:r>
        <w:rPr>
          <w:color w:val="2E6DB4"/>
        </w:rPr>
        <w:t xml:space="preserve">☐  </w:t>
      </w:r>
      <w:r>
        <w:t>Process notes the host-Server dependency (Dependent identity) and how a hostless DB is handled</w:t>
      </w:r>
    </w:p>
    <w:p>
      <w:pPr>
        <w:spacing w:after="40"/>
        <w:ind w:left="360"/>
      </w:pPr>
      <w:r>
        <w:rPr>
          <w:color w:val="2E6DB4"/>
        </w:rPr>
        <w:t xml:space="preserve">☐  </w:t>
      </w:r>
      <w:r>
        <w:t>Escalation and non-response handling defined</w:t>
      </w:r>
    </w:p>
    <w:p>
      <w:pPr>
        <w:spacing w:after="40"/>
        <w:ind w:left="360"/>
      </w:pPr>
      <w:r>
        <w:rPr>
          <w:color w:val="2E6DB4"/>
        </w:rPr>
        <w:t xml:space="preserve">☐  </w:t>
      </w:r>
      <w:r>
        <w:t>Process documented in the agreed location and reviewed with the Database CCB Class Manager, Ray Reuter (DEP-5)</w:t>
      </w:r>
    </w:p>
    <w:p>
      <w:pPr>
        <w:spacing w:after="40"/>
        <w:ind w:left="360"/>
      </w:pPr>
      <w:r>
        <w:rPr>
          <w:color w:val="2E6DB4"/>
        </w:rPr>
        <w:t xml:space="preserve">☐  </w:t>
      </w:r>
      <w:r>
        <w:t>Doc-only — no PROD change required</w:t>
      </w:r>
    </w:p>
    <w:p>
      <w:pPr>
        <w:spacing w:after="60"/>
      </w:pPr>
      <w:r>
        <w:rPr>
          <w:b/>
        </w:rPr>
        <w:t>Dependencies:</w:t>
      </w:r>
      <w:r>
        <w:t xml:space="preserve"> DEP-1 (audit spike 1480113 gap plan), DEP-3 (attribute-set reconciliation), DEP-5 (Class Manager confirmation).</w:t>
      </w:r>
    </w:p>
    <w:p>
      <w:r>
        <w:br w:type="page"/>
      </w:r>
    </w:p>
    <w:p>
      <w:pPr>
        <w:spacing w:before="0" w:after="80"/>
      </w:pPr>
      <w:r>
        <w:rPr>
          <w:b/>
          <w:color w:val="1F3A5F"/>
          <w:sz w:val="28"/>
        </w:rPr>
        <w:t>DB-2 · [Enabler – Configuration] Build Database certification policies/rules to PROD</w:t>
      </w:r>
    </w:p>
    <w:tbl>
      <w:tblPr>
        <w:tblStyle w:val="LightGrid-Accent1"/>
        <w:tblW w:type="auto" w:w="0"/>
        <w:jc w:val="center"/>
        <w:tblLook w:firstColumn="1" w:firstRow="1" w:lastColumn="0" w:lastRow="0" w:noHBand="0" w:noVBand="1" w:val="04A0"/>
      </w:tblPr>
      <w:tblGrid>
        <w:gridCol w:w="4968"/>
        <w:gridCol w:w="4968"/>
      </w:tblGrid>
      <w:tr>
        <w:tc>
          <w:tcPr>
            <w:tcW w:type="dxa" w:w="4968"/>
          </w:tcPr>
          <w:p>
            <w:r>
              <w:rPr>
                <w:b/>
                <w:sz w:val="17"/>
              </w:rPr>
            </w:r>
            <w:r>
              <w:rPr>
                <w:b/>
                <w:sz w:val="17"/>
              </w:rPr>
              <w:t>Field</w:t>
            </w:r>
          </w:p>
        </w:tc>
        <w:tc>
          <w:tcPr>
            <w:tcW w:type="dxa" w:w="4968"/>
          </w:tcPr>
          <w:p>
            <w:r>
              <w:rPr>
                <w:b/>
                <w:sz w:val="17"/>
              </w:rPr>
            </w:r>
            <w:r>
              <w:rPr>
                <w:b/>
                <w:sz w:val="17"/>
              </w:rPr>
              <w:t>Value</w:t>
            </w:r>
          </w:p>
        </w:tc>
      </w:tr>
      <w:tr>
        <w:tc>
          <w:tcPr>
            <w:tcW w:type="dxa" w:w="4968"/>
          </w:tcPr>
          <w:p>
            <w:r>
              <w:rPr>
                <w:sz w:val="17"/>
              </w:rPr>
            </w:r>
            <w:r>
              <w:rPr>
                <w:sz w:val="17"/>
              </w:rPr>
              <w:t>Type</w:t>
            </w:r>
          </w:p>
        </w:tc>
        <w:tc>
          <w:tcPr>
            <w:tcW w:type="dxa" w:w="4968"/>
          </w:tcPr>
          <w:p>
            <w:r>
              <w:rPr>
                <w:sz w:val="17"/>
              </w:rPr>
            </w:r>
            <w:r>
              <w:rPr>
                <w:sz w:val="17"/>
              </w:rPr>
              <w:t>Enabler – Configuration</w:t>
            </w:r>
          </w:p>
        </w:tc>
      </w:tr>
      <w:tr>
        <w:tc>
          <w:tcPr>
            <w:tcW w:type="dxa" w:w="4968"/>
          </w:tcPr>
          <w:p>
            <w:r>
              <w:rPr>
                <w:sz w:val="17"/>
              </w:rPr>
            </w:r>
            <w:r>
              <w:rPr>
                <w:sz w:val="17"/>
              </w:rPr>
              <w:t>Parent feature</w:t>
            </w:r>
          </w:p>
        </w:tc>
        <w:tc>
          <w:tcPr>
            <w:tcW w:type="dxa" w:w="4968"/>
          </w:tcPr>
          <w:p>
            <w:r>
              <w:rPr>
                <w:sz w:val="17"/>
              </w:rPr>
            </w:r>
            <w:r>
              <w:rPr>
                <w:sz w:val="17"/>
              </w:rPr>
              <w:t>1517037</w:t>
            </w:r>
          </w:p>
        </w:tc>
      </w:tr>
      <w:tr>
        <w:tc>
          <w:tcPr>
            <w:tcW w:type="dxa" w:w="4968"/>
          </w:tcPr>
          <w:p>
            <w:r>
              <w:rPr>
                <w:sz w:val="17"/>
              </w:rPr>
            </w:r>
            <w:r>
              <w:rPr>
                <w:sz w:val="17"/>
              </w:rPr>
              <w:t>Sprint</w:t>
            </w:r>
          </w:p>
        </w:tc>
        <w:tc>
          <w:tcPr>
            <w:tcW w:type="dxa" w:w="4968"/>
          </w:tcPr>
          <w:p>
            <w:r>
              <w:rPr>
                <w:sz w:val="17"/>
              </w:rPr>
            </w:r>
            <w:r>
              <w:rPr>
                <w:sz w:val="17"/>
              </w:rPr>
              <w:t>3.4</w:t>
            </w:r>
          </w:p>
        </w:tc>
      </w:tr>
      <w:tr>
        <w:tc>
          <w:tcPr>
            <w:tcW w:type="dxa" w:w="4968"/>
          </w:tcPr>
          <w:p>
            <w:r>
              <w:rPr>
                <w:sz w:val="17"/>
              </w:rPr>
            </w:r>
            <w:r>
              <w:rPr>
                <w:sz w:val="17"/>
              </w:rPr>
              <w:t>Owner</w:t>
            </w:r>
          </w:p>
        </w:tc>
        <w:tc>
          <w:tcPr>
            <w:tcW w:type="dxa" w:w="4968"/>
          </w:tcPr>
          <w:p>
            <w:r>
              <w:rPr>
                <w:sz w:val="17"/>
              </w:rPr>
            </w:r>
            <w:r>
              <w:rPr>
                <w:sz w:val="17"/>
              </w:rPr>
              <w:t>Bhushan Salsekar (confirm)</w:t>
            </w:r>
          </w:p>
        </w:tc>
      </w:tr>
      <w:tr>
        <w:tc>
          <w:tcPr>
            <w:tcW w:type="dxa" w:w="4968"/>
          </w:tcPr>
          <w:p>
            <w:r>
              <w:rPr>
                <w:sz w:val="17"/>
              </w:rPr>
            </w:r>
            <w:r>
              <w:rPr>
                <w:sz w:val="17"/>
              </w:rPr>
              <w:t>Points</w:t>
            </w:r>
          </w:p>
        </w:tc>
        <w:tc>
          <w:tcPr>
            <w:tcW w:type="dxa" w:w="4968"/>
          </w:tcPr>
          <w:p>
            <w:r>
              <w:rPr>
                <w:sz w:val="17"/>
              </w:rPr>
            </w:r>
            <w:r>
              <w:rPr>
                <w:sz w:val="17"/>
              </w:rPr>
              <w:t>TBD at refinement</w:t>
            </w:r>
          </w:p>
        </w:tc>
      </w:tr>
      <w:tr>
        <w:tc>
          <w:tcPr>
            <w:tcW w:type="dxa" w:w="4968"/>
          </w:tcPr>
          <w:p>
            <w:r>
              <w:rPr>
                <w:sz w:val="17"/>
              </w:rPr>
            </w:r>
            <w:r>
              <w:rPr>
                <w:sz w:val="17"/>
              </w:rPr>
              <w:t>ADO note</w:t>
            </w:r>
          </w:p>
        </w:tc>
        <w:tc>
          <w:tcPr>
            <w:tcW w:type="dxa" w:w="4968"/>
          </w:tcPr>
          <w:p>
            <w:r>
              <w:rPr>
                <w:sz w:val="17"/>
              </w:rPr>
            </w:r>
            <w:r>
              <w:rPr>
                <w:sz w:val="17"/>
              </w:rPr>
              <w:t>Net-new — clones pilot 1402976 (execute policies), re-scoped to Database</w:t>
            </w:r>
          </w:p>
        </w:tc>
      </w:tr>
      <w:tr>
        <w:tc>
          <w:tcPr>
            <w:tcW w:type="dxa" w:w="4968"/>
          </w:tcPr>
          <w:p>
            <w:r>
              <w:rPr>
                <w:sz w:val="17"/>
              </w:rPr>
            </w:r>
            <w:r>
              <w:rPr>
                <w:sz w:val="17"/>
              </w:rPr>
              <w:t>Depends on</w:t>
            </w:r>
          </w:p>
        </w:tc>
        <w:tc>
          <w:tcPr>
            <w:tcW w:type="dxa" w:w="4968"/>
          </w:tcPr>
          <w:p>
            <w:r>
              <w:rPr>
                <w:sz w:val="17"/>
              </w:rPr>
            </w:r>
            <w:r>
              <w:rPr>
                <w:sz w:val="17"/>
              </w:rPr>
              <w:t>DB-1, DEP-2 (Data Dictionary CCB), DEP-3 (attribute set), DEP-4 (data quality)</w:t>
            </w:r>
          </w:p>
        </w:tc>
      </w:tr>
      <w:tr>
        <w:tc>
          <w:tcPr>
            <w:tcW w:type="dxa" w:w="4968"/>
          </w:tcPr>
          <w:p>
            <w:r>
              <w:rPr>
                <w:sz w:val="17"/>
              </w:rPr>
            </w:r>
            <w:r>
              <w:rPr>
                <w:sz w:val="17"/>
              </w:rPr>
              <w:t>Tags</w:t>
            </w:r>
          </w:p>
        </w:tc>
        <w:tc>
          <w:tcPr>
            <w:tcW w:type="dxa" w:w="4968"/>
          </w:tcPr>
          <w:p>
            <w:r>
              <w:rPr>
                <w:sz w:val="17"/>
              </w:rPr>
            </w:r>
            <w:r>
              <w:rPr>
                <w:rFonts w:ascii="Consolas" w:hAnsi="Consolas"/>
                <w:sz w:val="17"/>
              </w:rPr>
              <w:t>Data-Certification</w:t>
            </w:r>
            <w:r>
              <w:rPr>
                <w:sz w:val="17"/>
              </w:rPr>
              <w:t xml:space="preserve"> </w:t>
            </w:r>
            <w:r>
              <w:rPr>
                <w:rFonts w:ascii="Consolas" w:hAnsi="Consolas"/>
                <w:sz w:val="17"/>
              </w:rPr>
              <w:t>Database</w:t>
            </w:r>
            <w:r>
              <w:rPr>
                <w:sz w:val="17"/>
              </w:rPr>
              <w:t xml:space="preserve"> </w:t>
            </w:r>
            <w:r>
              <w:rPr>
                <w:rFonts w:ascii="Consolas" w:hAnsi="Consolas"/>
                <w:sz w:val="17"/>
              </w:rPr>
              <w:t>Configuration</w:t>
            </w:r>
            <w:r>
              <w:rPr>
                <w:sz w:val="17"/>
              </w:rPr>
              <w:t xml:space="preserve"> </w:t>
            </w:r>
            <w:r>
              <w:rPr>
                <w:rFonts w:ascii="Consolas" w:hAnsi="Consolas"/>
                <w:sz w:val="17"/>
              </w:rPr>
              <w:t>CO6-Obj3</w:t>
            </w:r>
          </w:p>
        </w:tc>
      </w:tr>
    </w:tbl>
    <w:p>
      <w:pPr>
        <w:spacing w:after="40"/>
      </w:pPr>
    </w:p>
    <w:p>
      <w:pPr>
        <w:spacing w:after="60"/>
      </w:pPr>
      <w:r>
        <w:rPr>
          <w:b/>
        </w:rPr>
        <w:t>As</w:t>
      </w:r>
      <w:r>
        <w:t xml:space="preserve"> the CMDB Configuration Management Process Owner,</w:t>
      </w:r>
    </w:p>
    <w:p>
      <w:pPr>
        <w:spacing w:after="60"/>
      </w:pPr>
      <w:r>
        <w:rPr>
          <w:b/>
        </w:rPr>
        <w:t>I want</w:t>
      </w:r>
      <w:r>
        <w:t xml:space="preserve"> the ServiceNow data-certification campaign, filters, and attestation rules for </w:t>
      </w:r>
      <w:r>
        <w:rPr>
          <w:rFonts w:ascii="Consolas" w:hAnsi="Consolas"/>
          <w:sz w:val="18"/>
        </w:rPr>
        <w:t>cmdb_ci_db_instance</w:t>
      </w:r>
      <w:r>
        <w:t xml:space="preserve"> configured and deployed to PROD,</w:t>
      </w:r>
    </w:p>
    <w:p>
      <w:pPr>
        <w:spacing w:after="60"/>
      </w:pPr>
      <w:r>
        <w:rPr>
          <w:b/>
        </w:rPr>
        <w:t>So that</w:t>
      </w:r>
      <w:r>
        <w:t xml:space="preserve"> Database CI owners can be issued attestation tasks against the agreed attribute set on a defined schedule.</w:t>
      </w:r>
    </w:p>
    <w:p>
      <w:pPr>
        <w:spacing w:after="60"/>
      </w:pPr>
      <w:r>
        <w:rPr>
          <w:b/>
        </w:rPr>
        <w:t>Acceptance criteria:</w:t>
      </w:r>
    </w:p>
    <w:p>
      <w:pPr>
        <w:spacing w:after="40"/>
        <w:ind w:left="360"/>
      </w:pPr>
      <w:r>
        <w:rPr>
          <w:color w:val="2E6DB4"/>
        </w:rPr>
        <w:t xml:space="preserve">☐  </w:t>
      </w:r>
      <w:r>
        <w:t xml:space="preserve">Certification definition/filter created scoping the active </w:t>
      </w:r>
      <w:r>
        <w:rPr>
          <w:rFonts w:ascii="Consolas" w:hAnsi="Consolas"/>
          <w:sz w:val="18"/>
        </w:rPr>
        <w:t>cmdb_ci_db_instance</w:t>
      </w:r>
      <w:r>
        <w:t xml:space="preserve"> population (≈3,113; Oracle + MS SQL child classes inherit the parent set additively — DEP-5)</w:t>
      </w:r>
    </w:p>
    <w:p>
      <w:pPr>
        <w:spacing w:after="40"/>
        <w:ind w:left="360"/>
      </w:pPr>
      <w:r>
        <w:rPr>
          <w:color w:val="2E6DB4"/>
        </w:rPr>
        <w:t xml:space="preserve">☐  </w:t>
      </w:r>
      <w:r>
        <w:t xml:space="preserve">Attestation rules configured for the </w:t>
      </w:r>
      <w:r>
        <w:rPr>
          <w:b/>
        </w:rPr>
        <w:t>reconciled</w:t>
      </w:r>
      <w:r>
        <w:t xml:space="preserve"> Database managed attribute set per DB-1/DEP-3 (baseline slide set: CI Owner </w:t>
      </w:r>
      <w:r>
        <w:rPr>
          <w:rFonts w:ascii="Consolas" w:hAnsi="Consolas"/>
          <w:sz w:val="18"/>
        </w:rPr>
        <w:t>managed_by</w:t>
      </w:r>
      <w:r>
        <w:t xml:space="preserve">, Technical Owner Group </w:t>
      </w:r>
      <w:r>
        <w:rPr>
          <w:rFonts w:ascii="Consolas" w:hAnsi="Consolas"/>
          <w:sz w:val="18"/>
        </w:rPr>
        <w:t>managed_by_group</w:t>
      </w:r>
      <w:r>
        <w:t xml:space="preserve">, Support Group </w:t>
      </w:r>
      <w:r>
        <w:rPr>
          <w:rFonts w:ascii="Consolas" w:hAnsi="Consolas"/>
          <w:sz w:val="18"/>
        </w:rPr>
        <w:t>support_group</w:t>
      </w:r>
      <w:r>
        <w:t xml:space="preserve">, Environment </w:t>
      </w:r>
      <w:r>
        <w:rPr>
          <w:rFonts w:ascii="Consolas" w:hAnsi="Consolas"/>
          <w:sz w:val="18"/>
        </w:rPr>
        <w:t>environment</w:t>
      </w:r>
      <w:r>
        <w:t xml:space="preserve">, Location </w:t>
      </w:r>
      <w:r>
        <w:rPr>
          <w:rFonts w:ascii="Consolas" w:hAnsi="Consolas"/>
          <w:sz w:val="18"/>
        </w:rPr>
        <w:t>location</w:t>
      </w:r>
      <w:r>
        <w:t>)</w:t>
      </w:r>
    </w:p>
    <w:p>
      <w:pPr>
        <w:spacing w:after="40"/>
        <w:ind w:left="360"/>
      </w:pPr>
      <w:r>
        <w:rPr>
          <w:color w:val="2E6DB4"/>
        </w:rPr>
        <w:t xml:space="preserve">☐  </w:t>
      </w:r>
      <w:r>
        <w:t>Certification schedule configured (frequency + first run window) and documented</w:t>
      </w:r>
    </w:p>
    <w:p>
      <w:pPr>
        <w:spacing w:after="40"/>
        <w:ind w:left="360"/>
      </w:pPr>
      <w:r>
        <w:rPr>
          <w:color w:val="2E6DB4"/>
        </w:rPr>
        <w:t xml:space="preserve">☐  </w:t>
      </w:r>
      <w:r>
        <w:t>Configuration migrated to PROD via a governed update set / change</w:t>
      </w:r>
    </w:p>
    <w:p>
      <w:pPr>
        <w:spacing w:after="40"/>
        <w:ind w:left="360"/>
      </w:pPr>
      <w:r>
        <w:rPr>
          <w:color w:val="2E6DB4"/>
        </w:rPr>
        <w:t xml:space="preserve">☐  </w:t>
      </w:r>
      <w:r>
        <w:t>Task routing verified — attestation tasks land with the correct owner group (</w:t>
      </w:r>
      <w:r>
        <w:rPr>
          <w:rFonts w:ascii="Consolas" w:hAnsi="Consolas"/>
          <w:sz w:val="18"/>
        </w:rPr>
        <w:t>managed_by_group</w:t>
      </w:r>
      <w:r>
        <w:t xml:space="preserve"> / </w:t>
      </w:r>
      <w:r>
        <w:rPr>
          <w:rFonts w:ascii="Consolas" w:hAnsi="Consolas"/>
          <w:sz w:val="18"/>
        </w:rPr>
        <w:t>support_group</w:t>
      </w:r>
      <w:r>
        <w:t>)</w:t>
      </w:r>
    </w:p>
    <w:p>
      <w:pPr>
        <w:spacing w:after="40"/>
        <w:ind w:left="360"/>
      </w:pPr>
      <w:r>
        <w:rPr>
          <w:color w:val="2E6DB4"/>
        </w:rPr>
        <w:t xml:space="preserve">☐  </w:t>
      </w:r>
      <w:r>
        <w:t>Dry-run on a bounded owner group confirms tasks generate and complete without error before full launch</w:t>
      </w:r>
    </w:p>
    <w:p>
      <w:pPr>
        <w:spacing w:after="60"/>
      </w:pPr>
      <w:r>
        <w:rPr>
          <w:b/>
        </w:rPr>
        <w:t>Dependencies:</w:t>
      </w:r>
      <w:r>
        <w:t xml:space="preserve"> DB-1, DEP-2 (attribute set locked by CCB), DEP-3 (reconciliation resolved — blocking), DEP-4 (trustworthy data), DEP-5 (active population).</w:t>
      </w:r>
    </w:p>
    <w:p>
      <w:r>
        <w:br w:type="page"/>
      </w:r>
    </w:p>
    <w:p>
      <w:pPr>
        <w:spacing w:before="0" w:after="80"/>
      </w:pPr>
      <w:r>
        <w:rPr>
          <w:b/>
          <w:color w:val="1F3A5F"/>
          <w:sz w:val="28"/>
        </w:rPr>
        <w:t>DB-3 · [Enabler – Configuration] Stand up the Database certification tracking dashboard</w:t>
      </w:r>
    </w:p>
    <w:tbl>
      <w:tblPr>
        <w:tblStyle w:val="LightGrid-Accent1"/>
        <w:tblW w:type="auto" w:w="0"/>
        <w:jc w:val="center"/>
        <w:tblLook w:firstColumn="1" w:firstRow="1" w:lastColumn="0" w:lastRow="0" w:noHBand="0" w:noVBand="1" w:val="04A0"/>
      </w:tblPr>
      <w:tblGrid>
        <w:gridCol w:w="4968"/>
        <w:gridCol w:w="4968"/>
      </w:tblGrid>
      <w:tr>
        <w:tc>
          <w:tcPr>
            <w:tcW w:type="dxa" w:w="4968"/>
          </w:tcPr>
          <w:p>
            <w:r>
              <w:rPr>
                <w:b/>
                <w:sz w:val="17"/>
              </w:rPr>
            </w:r>
            <w:r>
              <w:rPr>
                <w:b/>
                <w:sz w:val="17"/>
              </w:rPr>
              <w:t>Field</w:t>
            </w:r>
          </w:p>
        </w:tc>
        <w:tc>
          <w:tcPr>
            <w:tcW w:type="dxa" w:w="4968"/>
          </w:tcPr>
          <w:p>
            <w:r>
              <w:rPr>
                <w:b/>
                <w:sz w:val="17"/>
              </w:rPr>
            </w:r>
            <w:r>
              <w:rPr>
                <w:b/>
                <w:sz w:val="17"/>
              </w:rPr>
              <w:t>Value</w:t>
            </w:r>
          </w:p>
        </w:tc>
      </w:tr>
      <w:tr>
        <w:tc>
          <w:tcPr>
            <w:tcW w:type="dxa" w:w="4968"/>
          </w:tcPr>
          <w:p>
            <w:r>
              <w:rPr>
                <w:sz w:val="17"/>
              </w:rPr>
            </w:r>
            <w:r>
              <w:rPr>
                <w:sz w:val="17"/>
              </w:rPr>
              <w:t>Type</w:t>
            </w:r>
          </w:p>
        </w:tc>
        <w:tc>
          <w:tcPr>
            <w:tcW w:type="dxa" w:w="4968"/>
          </w:tcPr>
          <w:p>
            <w:r>
              <w:rPr>
                <w:sz w:val="17"/>
              </w:rPr>
            </w:r>
            <w:r>
              <w:rPr>
                <w:sz w:val="17"/>
              </w:rPr>
              <w:t>Enabler – Configuration</w:t>
            </w:r>
          </w:p>
        </w:tc>
      </w:tr>
      <w:tr>
        <w:tc>
          <w:tcPr>
            <w:tcW w:type="dxa" w:w="4968"/>
          </w:tcPr>
          <w:p>
            <w:r>
              <w:rPr>
                <w:sz w:val="17"/>
              </w:rPr>
            </w:r>
            <w:r>
              <w:rPr>
                <w:sz w:val="17"/>
              </w:rPr>
              <w:t>Parent feature</w:t>
            </w:r>
          </w:p>
        </w:tc>
        <w:tc>
          <w:tcPr>
            <w:tcW w:type="dxa" w:w="4968"/>
          </w:tcPr>
          <w:p>
            <w:r>
              <w:rPr>
                <w:sz w:val="17"/>
              </w:rPr>
            </w:r>
            <w:r>
              <w:rPr>
                <w:sz w:val="17"/>
              </w:rPr>
              <w:t>1517037</w:t>
            </w:r>
          </w:p>
        </w:tc>
      </w:tr>
      <w:tr>
        <w:tc>
          <w:tcPr>
            <w:tcW w:type="dxa" w:w="4968"/>
          </w:tcPr>
          <w:p>
            <w:r>
              <w:rPr>
                <w:sz w:val="17"/>
              </w:rPr>
            </w:r>
            <w:r>
              <w:rPr>
                <w:sz w:val="17"/>
              </w:rPr>
              <w:t>Sprint</w:t>
            </w:r>
          </w:p>
        </w:tc>
        <w:tc>
          <w:tcPr>
            <w:tcW w:type="dxa" w:w="4968"/>
          </w:tcPr>
          <w:p>
            <w:r>
              <w:rPr>
                <w:sz w:val="17"/>
              </w:rPr>
            </w:r>
            <w:r>
              <w:rPr>
                <w:sz w:val="17"/>
              </w:rPr>
              <w:t>3.4</w:t>
            </w:r>
          </w:p>
        </w:tc>
      </w:tr>
      <w:tr>
        <w:tc>
          <w:tcPr>
            <w:tcW w:type="dxa" w:w="4968"/>
          </w:tcPr>
          <w:p>
            <w:r>
              <w:rPr>
                <w:sz w:val="17"/>
              </w:rPr>
            </w:r>
            <w:r>
              <w:rPr>
                <w:sz w:val="17"/>
              </w:rPr>
              <w:t>Owner</w:t>
            </w:r>
          </w:p>
        </w:tc>
        <w:tc>
          <w:tcPr>
            <w:tcW w:type="dxa" w:w="4968"/>
          </w:tcPr>
          <w:p>
            <w:r>
              <w:rPr>
                <w:sz w:val="17"/>
              </w:rPr>
            </w:r>
            <w:r>
              <w:rPr>
                <w:sz w:val="17"/>
              </w:rPr>
              <w:t>Kiran (confirm)</w:t>
            </w:r>
          </w:p>
        </w:tc>
      </w:tr>
      <w:tr>
        <w:tc>
          <w:tcPr>
            <w:tcW w:type="dxa" w:w="4968"/>
          </w:tcPr>
          <w:p>
            <w:r>
              <w:rPr>
                <w:sz w:val="17"/>
              </w:rPr>
            </w:r>
            <w:r>
              <w:rPr>
                <w:sz w:val="17"/>
              </w:rPr>
              <w:t>Points</w:t>
            </w:r>
          </w:p>
        </w:tc>
        <w:tc>
          <w:tcPr>
            <w:tcW w:type="dxa" w:w="4968"/>
          </w:tcPr>
          <w:p>
            <w:r>
              <w:rPr>
                <w:sz w:val="17"/>
              </w:rPr>
            </w:r>
            <w:r>
              <w:rPr>
                <w:sz w:val="17"/>
              </w:rPr>
              <w:t>TBD at refinement</w:t>
            </w:r>
          </w:p>
        </w:tc>
      </w:tr>
      <w:tr>
        <w:tc>
          <w:tcPr>
            <w:tcW w:type="dxa" w:w="4968"/>
          </w:tcPr>
          <w:p>
            <w:r>
              <w:rPr>
                <w:sz w:val="17"/>
              </w:rPr>
            </w:r>
            <w:r>
              <w:rPr>
                <w:sz w:val="17"/>
              </w:rPr>
              <w:t>ADO note</w:t>
            </w:r>
          </w:p>
        </w:tc>
        <w:tc>
          <w:tcPr>
            <w:tcW w:type="dxa" w:w="4968"/>
          </w:tcPr>
          <w:p>
            <w:r>
              <w:rPr>
                <w:sz w:val="17"/>
              </w:rPr>
            </w:r>
            <w:r>
              <w:rPr>
                <w:sz w:val="17"/>
              </w:rPr>
              <w:t>Net-new — clones pilot 1402727 (dashboard), re-scoped to Database</w:t>
            </w:r>
          </w:p>
        </w:tc>
      </w:tr>
      <w:tr>
        <w:tc>
          <w:tcPr>
            <w:tcW w:type="dxa" w:w="4968"/>
          </w:tcPr>
          <w:p>
            <w:r>
              <w:rPr>
                <w:sz w:val="17"/>
              </w:rPr>
            </w:r>
            <w:r>
              <w:rPr>
                <w:sz w:val="17"/>
              </w:rPr>
              <w:t>Depends on</w:t>
            </w:r>
          </w:p>
        </w:tc>
        <w:tc>
          <w:tcPr>
            <w:tcW w:type="dxa" w:w="4968"/>
          </w:tcPr>
          <w:p>
            <w:r>
              <w:rPr>
                <w:sz w:val="17"/>
              </w:rPr>
            </w:r>
            <w:r>
              <w:rPr>
                <w:sz w:val="17"/>
              </w:rPr>
              <w:t>DB-2</w:t>
            </w:r>
          </w:p>
        </w:tc>
      </w:tr>
      <w:tr>
        <w:tc>
          <w:tcPr>
            <w:tcW w:type="dxa" w:w="4968"/>
          </w:tcPr>
          <w:p>
            <w:r>
              <w:rPr>
                <w:sz w:val="17"/>
              </w:rPr>
            </w:r>
            <w:r>
              <w:rPr>
                <w:sz w:val="17"/>
              </w:rPr>
              <w:t>Tags</w:t>
            </w:r>
          </w:p>
        </w:tc>
        <w:tc>
          <w:tcPr>
            <w:tcW w:type="dxa" w:w="4968"/>
          </w:tcPr>
          <w:p>
            <w:r>
              <w:rPr>
                <w:sz w:val="17"/>
              </w:rPr>
            </w:r>
            <w:r>
              <w:rPr>
                <w:rFonts w:ascii="Consolas" w:hAnsi="Consolas"/>
                <w:sz w:val="17"/>
              </w:rPr>
              <w:t>Data-Certification</w:t>
            </w:r>
            <w:r>
              <w:rPr>
                <w:sz w:val="17"/>
              </w:rPr>
              <w:t xml:space="preserve"> </w:t>
            </w:r>
            <w:r>
              <w:rPr>
                <w:rFonts w:ascii="Consolas" w:hAnsi="Consolas"/>
                <w:sz w:val="17"/>
              </w:rPr>
              <w:t>Database</w:t>
            </w:r>
            <w:r>
              <w:rPr>
                <w:sz w:val="17"/>
              </w:rPr>
              <w:t xml:space="preserve"> </w:t>
            </w:r>
            <w:r>
              <w:rPr>
                <w:rFonts w:ascii="Consolas" w:hAnsi="Consolas"/>
                <w:sz w:val="17"/>
              </w:rPr>
              <w:t>Dashboard</w:t>
            </w:r>
            <w:r>
              <w:rPr>
                <w:sz w:val="17"/>
              </w:rPr>
              <w:t xml:space="preserve"> </w:t>
            </w:r>
            <w:r>
              <w:rPr>
                <w:rFonts w:ascii="Consolas" w:hAnsi="Consolas"/>
                <w:sz w:val="17"/>
              </w:rPr>
              <w:t>CO6-Obj3</w:t>
            </w:r>
          </w:p>
        </w:tc>
      </w:tr>
    </w:tbl>
    <w:p>
      <w:pPr>
        <w:spacing w:after="40"/>
      </w:pPr>
    </w:p>
    <w:p>
      <w:pPr>
        <w:spacing w:after="60"/>
      </w:pPr>
      <w:r>
        <w:rPr>
          <w:b/>
        </w:rPr>
        <w:t>As</w:t>
      </w:r>
      <w:r>
        <w:t xml:space="preserve"> the CMDB Configuration Management Process Owner,</w:t>
      </w:r>
    </w:p>
    <w:p>
      <w:pPr>
        <w:spacing w:after="60"/>
      </w:pPr>
      <w:r>
        <w:rPr>
          <w:b/>
        </w:rPr>
        <w:t>I want</w:t>
      </w:r>
      <w:r>
        <w:t xml:space="preserve"> a live tracking dashboard for the Database certification cycle — coverage, attestation status, and outstanding gaps,</w:t>
      </w:r>
    </w:p>
    <w:p>
      <w:pPr>
        <w:spacing w:after="60"/>
      </w:pPr>
      <w:r>
        <w:rPr>
          <w:b/>
        </w:rPr>
        <w:t>So that</w:t>
      </w:r>
      <w:r>
        <w:t xml:space="preserve"> certification progress against the Oct 30 gate is visible to the team and stakeholders without manual reporting.</w:t>
      </w:r>
    </w:p>
    <w:p>
      <w:pPr>
        <w:spacing w:after="60"/>
      </w:pPr>
      <w:r>
        <w:rPr>
          <w:b/>
        </w:rPr>
        <w:t>Acceptance criteria:</w:t>
      </w:r>
    </w:p>
    <w:p>
      <w:pPr>
        <w:spacing w:after="40"/>
        <w:ind w:left="360"/>
      </w:pPr>
      <w:r>
        <w:rPr>
          <w:color w:val="2E6DB4"/>
        </w:rPr>
        <w:t xml:space="preserve">☐  </w:t>
      </w:r>
      <w:r>
        <w:t>Dashboard shows Database certification coverage: % attested, pending, and overdue against the scoped active population</w:t>
      </w:r>
    </w:p>
    <w:p>
      <w:pPr>
        <w:spacing w:after="40"/>
        <w:ind w:left="360"/>
      </w:pPr>
      <w:r>
        <w:rPr>
          <w:color w:val="2E6DB4"/>
        </w:rPr>
        <w:t xml:space="preserve">☐  </w:t>
      </w:r>
      <w:r>
        <w:t>Outstanding-gap view surfaces the attributes driving non-certification (cross-checks the 1480113 audit gaps so remediation is not double-counted — DEP-1)</w:t>
      </w:r>
    </w:p>
    <w:p>
      <w:pPr>
        <w:spacing w:after="40"/>
        <w:ind w:left="360"/>
      </w:pPr>
      <w:r>
        <w:rPr>
          <w:color w:val="2E6DB4"/>
        </w:rPr>
        <w:t xml:space="preserve">☐  </w:t>
      </w:r>
      <w:r>
        <w:t>Dashboard reads from the live certification records created by DB-2 (not a static export)</w:t>
      </w:r>
    </w:p>
    <w:p>
      <w:pPr>
        <w:spacing w:after="40"/>
        <w:ind w:left="360"/>
      </w:pPr>
      <w:r>
        <w:rPr>
          <w:color w:val="2E6DB4"/>
        </w:rPr>
        <w:t xml:space="preserve">☐  </w:t>
      </w:r>
      <w:r>
        <w:t>Coordinated with the CMDB Health Completeness (Database) config so the two do not build overlapping scoring — see CP-3 (DEP-6)</w:t>
      </w:r>
    </w:p>
    <w:p>
      <w:pPr>
        <w:spacing w:after="40"/>
        <w:ind w:left="360"/>
      </w:pPr>
      <w:r>
        <w:rPr>
          <w:color w:val="2E6DB4"/>
        </w:rPr>
        <w:t xml:space="preserve">☐  </w:t>
      </w:r>
      <w:r>
        <w:t>Dashboard reviewed with PO (Joe Dames) and confirmed as the reporting source for the Oct 30 gate</w:t>
      </w:r>
    </w:p>
    <w:p>
      <w:pPr>
        <w:spacing w:after="40"/>
        <w:ind w:left="360"/>
      </w:pPr>
      <w:r>
        <w:rPr>
          <w:color w:val="2E6DB4"/>
        </w:rPr>
        <w:t xml:space="preserve">☐  </w:t>
      </w:r>
      <w:r>
        <w:t>Refresh cadence confirmed — scores update on schedule, not stale</w:t>
      </w:r>
    </w:p>
    <w:p>
      <w:pPr>
        <w:spacing w:after="60"/>
      </w:pPr>
      <w:r>
        <w:rPr>
          <w:b/>
        </w:rPr>
        <w:t>Dependencies:</w:t>
      </w:r>
      <w:r>
        <w:t xml:space="preserve"> DB-2 (records must exist to report on), DEP-1 (audit-gap alignment), DEP-6 (CP-3 coordination).</w:t>
      </w:r>
    </w:p>
    <w:p>
      <w:r>
        <w:br w:type="page"/>
      </w:r>
    </w:p>
    <w:p>
      <w:pPr>
        <w:spacing w:before="0" w:after="80"/>
      </w:pPr>
      <w:r>
        <w:rPr>
          <w:b/>
          <w:color w:val="1F3A5F"/>
          <w:sz w:val="28"/>
        </w:rPr>
        <w:t>DB-4 · [User Story] Run the Database certification cycle and monitor completeness</w:t>
      </w:r>
    </w:p>
    <w:tbl>
      <w:tblPr>
        <w:tblStyle w:val="LightGrid-Accent1"/>
        <w:tblW w:type="auto" w:w="0"/>
        <w:jc w:val="center"/>
        <w:tblLook w:firstColumn="1" w:firstRow="1" w:lastColumn="0" w:lastRow="0" w:noHBand="0" w:noVBand="1" w:val="04A0"/>
      </w:tblPr>
      <w:tblGrid>
        <w:gridCol w:w="4968"/>
        <w:gridCol w:w="4968"/>
      </w:tblGrid>
      <w:tr>
        <w:tc>
          <w:tcPr>
            <w:tcW w:type="dxa" w:w="4968"/>
          </w:tcPr>
          <w:p>
            <w:r>
              <w:rPr>
                <w:b/>
                <w:sz w:val="17"/>
              </w:rPr>
            </w:r>
            <w:r>
              <w:rPr>
                <w:b/>
                <w:sz w:val="17"/>
              </w:rPr>
              <w:t>Field</w:t>
            </w:r>
          </w:p>
        </w:tc>
        <w:tc>
          <w:tcPr>
            <w:tcW w:type="dxa" w:w="4968"/>
          </w:tcPr>
          <w:p>
            <w:r>
              <w:rPr>
                <w:b/>
                <w:sz w:val="17"/>
              </w:rPr>
            </w:r>
            <w:r>
              <w:rPr>
                <w:b/>
                <w:sz w:val="17"/>
              </w:rPr>
              <w:t>Value</w:t>
            </w:r>
          </w:p>
        </w:tc>
      </w:tr>
      <w:tr>
        <w:tc>
          <w:tcPr>
            <w:tcW w:type="dxa" w:w="4968"/>
          </w:tcPr>
          <w:p>
            <w:r>
              <w:rPr>
                <w:sz w:val="17"/>
              </w:rPr>
            </w:r>
            <w:r>
              <w:rPr>
                <w:sz w:val="17"/>
              </w:rPr>
              <w:t>Type</w:t>
            </w:r>
          </w:p>
        </w:tc>
        <w:tc>
          <w:tcPr>
            <w:tcW w:type="dxa" w:w="4968"/>
          </w:tcPr>
          <w:p>
            <w:r>
              <w:rPr>
                <w:sz w:val="17"/>
              </w:rPr>
            </w:r>
            <w:r>
              <w:rPr>
                <w:sz w:val="17"/>
              </w:rPr>
              <w:t>User Story</w:t>
            </w:r>
          </w:p>
        </w:tc>
      </w:tr>
      <w:tr>
        <w:tc>
          <w:tcPr>
            <w:tcW w:type="dxa" w:w="4968"/>
          </w:tcPr>
          <w:p>
            <w:r>
              <w:rPr>
                <w:sz w:val="17"/>
              </w:rPr>
            </w:r>
            <w:r>
              <w:rPr>
                <w:sz w:val="17"/>
              </w:rPr>
              <w:t>Parent feature</w:t>
            </w:r>
          </w:p>
        </w:tc>
        <w:tc>
          <w:tcPr>
            <w:tcW w:type="dxa" w:w="4968"/>
          </w:tcPr>
          <w:p>
            <w:r>
              <w:rPr>
                <w:sz w:val="17"/>
              </w:rPr>
            </w:r>
            <w:r>
              <w:rPr>
                <w:sz w:val="17"/>
              </w:rPr>
              <w:t>1517037</w:t>
            </w:r>
          </w:p>
        </w:tc>
      </w:tr>
      <w:tr>
        <w:tc>
          <w:tcPr>
            <w:tcW w:type="dxa" w:w="4968"/>
          </w:tcPr>
          <w:p>
            <w:r>
              <w:rPr>
                <w:sz w:val="17"/>
              </w:rPr>
            </w:r>
            <w:r>
              <w:rPr>
                <w:sz w:val="17"/>
              </w:rPr>
              <w:t>Sprint</w:t>
            </w:r>
          </w:p>
        </w:tc>
        <w:tc>
          <w:tcPr>
            <w:tcW w:type="dxa" w:w="4968"/>
          </w:tcPr>
          <w:p>
            <w:r>
              <w:rPr>
                <w:sz w:val="17"/>
              </w:rPr>
            </w:r>
            <w:r>
              <w:rPr>
                <w:sz w:val="17"/>
              </w:rPr>
              <w:t>3.5</w:t>
            </w:r>
          </w:p>
        </w:tc>
      </w:tr>
      <w:tr>
        <w:tc>
          <w:tcPr>
            <w:tcW w:type="dxa" w:w="4968"/>
          </w:tcPr>
          <w:p>
            <w:r>
              <w:rPr>
                <w:sz w:val="17"/>
              </w:rPr>
            </w:r>
            <w:r>
              <w:rPr>
                <w:sz w:val="17"/>
              </w:rPr>
              <w:t>Owner</w:t>
            </w:r>
          </w:p>
        </w:tc>
        <w:tc>
          <w:tcPr>
            <w:tcW w:type="dxa" w:w="4968"/>
          </w:tcPr>
          <w:p>
            <w:r>
              <w:rPr>
                <w:sz w:val="17"/>
              </w:rPr>
            </w:r>
            <w:r>
              <w:rPr>
                <w:sz w:val="17"/>
              </w:rPr>
              <w:t>Bhushan Salsekar (confirm)</w:t>
            </w:r>
          </w:p>
        </w:tc>
      </w:tr>
      <w:tr>
        <w:tc>
          <w:tcPr>
            <w:tcW w:type="dxa" w:w="4968"/>
          </w:tcPr>
          <w:p>
            <w:r>
              <w:rPr>
                <w:sz w:val="17"/>
              </w:rPr>
            </w:r>
            <w:r>
              <w:rPr>
                <w:sz w:val="17"/>
              </w:rPr>
              <w:t>Points</w:t>
            </w:r>
          </w:p>
        </w:tc>
        <w:tc>
          <w:tcPr>
            <w:tcW w:type="dxa" w:w="4968"/>
          </w:tcPr>
          <w:p>
            <w:r>
              <w:rPr>
                <w:sz w:val="17"/>
              </w:rPr>
            </w:r>
            <w:r>
              <w:rPr>
                <w:sz w:val="17"/>
              </w:rPr>
              <w:t>TBD at refinement</w:t>
            </w:r>
          </w:p>
        </w:tc>
      </w:tr>
      <w:tr>
        <w:tc>
          <w:tcPr>
            <w:tcW w:type="dxa" w:w="4968"/>
          </w:tcPr>
          <w:p>
            <w:r>
              <w:rPr>
                <w:sz w:val="17"/>
              </w:rPr>
            </w:r>
            <w:r>
              <w:rPr>
                <w:sz w:val="17"/>
              </w:rPr>
              <w:t>ADO note</w:t>
            </w:r>
          </w:p>
        </w:tc>
        <w:tc>
          <w:tcPr>
            <w:tcW w:type="dxa" w:w="4968"/>
          </w:tcPr>
          <w:p>
            <w:r>
              <w:rPr>
                <w:sz w:val="17"/>
              </w:rPr>
            </w:r>
            <w:r>
              <w:rPr>
                <w:sz w:val="17"/>
              </w:rPr>
              <w:t>Net-new — clones pilot 1402980 (monitor completeness), re-scoped to Database</w:t>
            </w:r>
          </w:p>
        </w:tc>
      </w:tr>
      <w:tr>
        <w:tc>
          <w:tcPr>
            <w:tcW w:type="dxa" w:w="4968"/>
          </w:tcPr>
          <w:p>
            <w:r>
              <w:rPr>
                <w:sz w:val="17"/>
              </w:rPr>
            </w:r>
            <w:r>
              <w:rPr>
                <w:sz w:val="17"/>
              </w:rPr>
              <w:t>Depends on</w:t>
            </w:r>
          </w:p>
        </w:tc>
        <w:tc>
          <w:tcPr>
            <w:tcW w:type="dxa" w:w="4968"/>
          </w:tcPr>
          <w:p>
            <w:r>
              <w:rPr>
                <w:sz w:val="17"/>
              </w:rPr>
            </w:r>
            <w:r>
              <w:rPr>
                <w:sz w:val="17"/>
              </w:rPr>
              <w:t>DB-2, DB-3, DEP-4</w:t>
            </w:r>
          </w:p>
        </w:tc>
      </w:tr>
      <w:tr>
        <w:tc>
          <w:tcPr>
            <w:tcW w:type="dxa" w:w="4968"/>
          </w:tcPr>
          <w:p>
            <w:r>
              <w:rPr>
                <w:sz w:val="17"/>
              </w:rPr>
            </w:r>
            <w:r>
              <w:rPr>
                <w:sz w:val="17"/>
              </w:rPr>
              <w:t>Tags</w:t>
            </w:r>
          </w:p>
        </w:tc>
        <w:tc>
          <w:tcPr>
            <w:tcW w:type="dxa" w:w="4968"/>
          </w:tcPr>
          <w:p>
            <w:r>
              <w:rPr>
                <w:sz w:val="17"/>
              </w:rPr>
            </w:r>
            <w:r>
              <w:rPr>
                <w:rFonts w:ascii="Consolas" w:hAnsi="Consolas"/>
                <w:sz w:val="17"/>
              </w:rPr>
              <w:t>Data-Certification</w:t>
            </w:r>
            <w:r>
              <w:rPr>
                <w:sz w:val="17"/>
              </w:rPr>
              <w:t xml:space="preserve"> </w:t>
            </w:r>
            <w:r>
              <w:rPr>
                <w:rFonts w:ascii="Consolas" w:hAnsi="Consolas"/>
                <w:sz w:val="17"/>
              </w:rPr>
              <w:t>Database</w:t>
            </w:r>
            <w:r>
              <w:rPr>
                <w:sz w:val="17"/>
              </w:rPr>
              <w:t xml:space="preserve"> </w:t>
            </w:r>
            <w:r>
              <w:rPr>
                <w:rFonts w:ascii="Consolas" w:hAnsi="Consolas"/>
                <w:sz w:val="17"/>
              </w:rPr>
              <w:t>CO6-Obj3</w:t>
            </w:r>
          </w:p>
        </w:tc>
      </w:tr>
    </w:tbl>
    <w:p>
      <w:pPr>
        <w:spacing w:after="40"/>
      </w:pPr>
    </w:p>
    <w:p>
      <w:pPr>
        <w:spacing w:after="60"/>
      </w:pPr>
      <w:r>
        <w:rPr>
          <w:b/>
        </w:rPr>
        <w:t>As</w:t>
      </w:r>
      <w:r>
        <w:t xml:space="preserve"> the CMDB Configuration Management Process Owner,</w:t>
      </w:r>
    </w:p>
    <w:p>
      <w:pPr>
        <w:spacing w:after="60"/>
      </w:pPr>
      <w:r>
        <w:rPr>
          <w:b/>
        </w:rPr>
        <w:t>I want</w:t>
      </w:r>
      <w:r>
        <w:t xml:space="preserve"> the first Database certification cycle executed end-to-end with completeness monitored on the dashboard,</w:t>
      </w:r>
    </w:p>
    <w:p>
      <w:pPr>
        <w:spacing w:after="60"/>
      </w:pPr>
      <w:r>
        <w:rPr>
          <w:b/>
        </w:rPr>
        <w:t>So that</w:t>
      </w:r>
      <w:r>
        <w:t xml:space="preserve"> attestation is actively driven to the target coverage and the process is proven before the Oct 30 gate.</w:t>
      </w:r>
    </w:p>
    <w:p>
      <w:pPr>
        <w:spacing w:after="60"/>
      </w:pPr>
      <w:r>
        <w:rPr>
          <w:b/>
        </w:rPr>
        <w:t>Acceptance criteria:</w:t>
      </w:r>
    </w:p>
    <w:p>
      <w:pPr>
        <w:spacing w:after="40"/>
        <w:ind w:left="360"/>
      </w:pPr>
      <w:r>
        <w:rPr>
          <w:color w:val="2E6DB4"/>
        </w:rPr>
        <w:t xml:space="preserve">☐  </w:t>
      </w:r>
      <w:r>
        <w:t>First certification cycle launched to Database CI owners via the DB-2 configuration</w:t>
      </w:r>
    </w:p>
    <w:p>
      <w:pPr>
        <w:spacing w:after="40"/>
        <w:ind w:left="360"/>
      </w:pPr>
      <w:r>
        <w:rPr>
          <w:color w:val="2E6DB4"/>
        </w:rPr>
        <w:t xml:space="preserve">☐  </w:t>
      </w:r>
      <w:r>
        <w:t>Attestation progress tracked on the DB-3 dashboard through the cycle</w:t>
      </w:r>
    </w:p>
    <w:p>
      <w:pPr>
        <w:spacing w:after="40"/>
        <w:ind w:left="360"/>
      </w:pPr>
      <w:r>
        <w:rPr>
          <w:color w:val="2E6DB4"/>
        </w:rPr>
        <w:t xml:space="preserve">☐  </w:t>
      </w:r>
      <w:r>
        <w:t>Gaps surfaced during attestation routed to remediation per the DB-1 process</w:t>
      </w:r>
    </w:p>
    <w:p>
      <w:pPr>
        <w:spacing w:after="40"/>
        <w:ind w:left="360"/>
      </w:pPr>
      <w:r>
        <w:rPr>
          <w:color w:val="2E6DB4"/>
        </w:rPr>
        <w:t xml:space="preserve">☐  </w:t>
      </w:r>
      <w:r>
        <w:t>Coverage reaches the agreed acceptance target for Databases; shortfall documented with cause if target not met (esp. gaps traceable to the Oracle-KY discovery gap — DEP-4)</w:t>
      </w:r>
    </w:p>
    <w:p>
      <w:pPr>
        <w:spacing w:after="40"/>
        <w:ind w:left="360"/>
      </w:pPr>
      <w:r>
        <w:rPr>
          <w:color w:val="2E6DB4"/>
        </w:rPr>
        <w:t xml:space="preserve">☐  </w:t>
      </w:r>
      <w:r>
        <w:t>Non-responding owners escalated per the DB-1 escalation path</w:t>
      </w:r>
    </w:p>
    <w:p>
      <w:pPr>
        <w:spacing w:after="40"/>
        <w:ind w:left="360"/>
      </w:pPr>
      <w:r>
        <w:rPr>
          <w:color w:val="2E6DB4"/>
        </w:rPr>
        <w:t xml:space="preserve">☐  </w:t>
      </w:r>
      <w:r>
        <w:t>Cycle outcome (coverage %, gaps closed, gaps outstanding) recorded and reviewed at Sprint Review</w:t>
      </w:r>
    </w:p>
    <w:p>
      <w:pPr>
        <w:spacing w:after="60"/>
      </w:pPr>
      <w:r>
        <w:rPr>
          <w:b/>
        </w:rPr>
        <w:t>Dependencies:</w:t>
      </w:r>
      <w:r>
        <w:t xml:space="preserve"> DB-2 (PROD build), DB-3 (dashboard), DEP-4 (trustworthy data — gaps caused by discovery holes are not owner-attestable).</w:t>
      </w:r>
    </w:p>
    <w:p>
      <w:r>
        <w:br w:type="page"/>
      </w:r>
    </w:p>
    <w:p>
      <w:pPr>
        <w:spacing w:before="0" w:after="80"/>
      </w:pPr>
      <w:r>
        <w:rPr>
          <w:b/>
          <w:color w:val="1F3A5F"/>
          <w:sz w:val="28"/>
        </w:rPr>
        <w:t>DB-5 · [User Story] Deliver Database certification training to CI owners</w:t>
      </w:r>
    </w:p>
    <w:tbl>
      <w:tblPr>
        <w:tblStyle w:val="LightGrid-Accent1"/>
        <w:tblW w:type="auto" w:w="0"/>
        <w:jc w:val="center"/>
        <w:tblLook w:firstColumn="1" w:firstRow="1" w:lastColumn="0" w:lastRow="0" w:noHBand="0" w:noVBand="1" w:val="04A0"/>
      </w:tblPr>
      <w:tblGrid>
        <w:gridCol w:w="4968"/>
        <w:gridCol w:w="4968"/>
      </w:tblGrid>
      <w:tr>
        <w:tc>
          <w:tcPr>
            <w:tcW w:type="dxa" w:w="4968"/>
          </w:tcPr>
          <w:p>
            <w:r>
              <w:rPr>
                <w:b/>
                <w:sz w:val="17"/>
              </w:rPr>
            </w:r>
            <w:r>
              <w:rPr>
                <w:b/>
                <w:sz w:val="17"/>
              </w:rPr>
              <w:t>Field</w:t>
            </w:r>
          </w:p>
        </w:tc>
        <w:tc>
          <w:tcPr>
            <w:tcW w:type="dxa" w:w="4968"/>
          </w:tcPr>
          <w:p>
            <w:r>
              <w:rPr>
                <w:b/>
                <w:sz w:val="17"/>
              </w:rPr>
            </w:r>
            <w:r>
              <w:rPr>
                <w:b/>
                <w:sz w:val="17"/>
              </w:rPr>
              <w:t>Value</w:t>
            </w:r>
          </w:p>
        </w:tc>
      </w:tr>
      <w:tr>
        <w:tc>
          <w:tcPr>
            <w:tcW w:type="dxa" w:w="4968"/>
          </w:tcPr>
          <w:p>
            <w:r>
              <w:rPr>
                <w:sz w:val="17"/>
              </w:rPr>
            </w:r>
            <w:r>
              <w:rPr>
                <w:sz w:val="17"/>
              </w:rPr>
              <w:t>Type</w:t>
            </w:r>
          </w:p>
        </w:tc>
        <w:tc>
          <w:tcPr>
            <w:tcW w:type="dxa" w:w="4968"/>
          </w:tcPr>
          <w:p>
            <w:r>
              <w:rPr>
                <w:sz w:val="17"/>
              </w:rPr>
            </w:r>
            <w:r>
              <w:rPr>
                <w:sz w:val="17"/>
              </w:rPr>
              <w:t>User Story</w:t>
            </w:r>
          </w:p>
        </w:tc>
      </w:tr>
      <w:tr>
        <w:tc>
          <w:tcPr>
            <w:tcW w:type="dxa" w:w="4968"/>
          </w:tcPr>
          <w:p>
            <w:r>
              <w:rPr>
                <w:sz w:val="17"/>
              </w:rPr>
            </w:r>
            <w:r>
              <w:rPr>
                <w:sz w:val="17"/>
              </w:rPr>
              <w:t>Parent feature</w:t>
            </w:r>
          </w:p>
        </w:tc>
        <w:tc>
          <w:tcPr>
            <w:tcW w:type="dxa" w:w="4968"/>
          </w:tcPr>
          <w:p>
            <w:r>
              <w:rPr>
                <w:sz w:val="17"/>
              </w:rPr>
            </w:r>
            <w:r>
              <w:rPr>
                <w:sz w:val="17"/>
              </w:rPr>
              <w:t>1517037</w:t>
            </w:r>
          </w:p>
        </w:tc>
      </w:tr>
      <w:tr>
        <w:tc>
          <w:tcPr>
            <w:tcW w:type="dxa" w:w="4968"/>
          </w:tcPr>
          <w:p>
            <w:r>
              <w:rPr>
                <w:sz w:val="17"/>
              </w:rPr>
            </w:r>
            <w:r>
              <w:rPr>
                <w:sz w:val="17"/>
              </w:rPr>
              <w:t>Sprint</w:t>
            </w:r>
          </w:p>
        </w:tc>
        <w:tc>
          <w:tcPr>
            <w:tcW w:type="dxa" w:w="4968"/>
          </w:tcPr>
          <w:p>
            <w:r>
              <w:rPr>
                <w:sz w:val="17"/>
              </w:rPr>
            </w:r>
            <w:r>
              <w:rPr>
                <w:sz w:val="17"/>
              </w:rPr>
              <w:t>3.5 → 3.6 IP (sign-off)</w:t>
            </w:r>
          </w:p>
        </w:tc>
      </w:tr>
      <w:tr>
        <w:tc>
          <w:tcPr>
            <w:tcW w:type="dxa" w:w="4968"/>
          </w:tcPr>
          <w:p>
            <w:r>
              <w:rPr>
                <w:sz w:val="17"/>
              </w:rPr>
            </w:r>
            <w:r>
              <w:rPr>
                <w:sz w:val="17"/>
              </w:rPr>
              <w:t>Owner</w:t>
            </w:r>
          </w:p>
        </w:tc>
        <w:tc>
          <w:tcPr>
            <w:tcW w:type="dxa" w:w="4968"/>
          </w:tcPr>
          <w:p>
            <w:r>
              <w:rPr>
                <w:sz w:val="17"/>
              </w:rPr>
            </w:r>
            <w:r>
              <w:rPr>
                <w:sz w:val="17"/>
              </w:rPr>
              <w:t>Joe Dames (PO) / Manuel Vazquez</w:t>
            </w:r>
          </w:p>
        </w:tc>
      </w:tr>
      <w:tr>
        <w:tc>
          <w:tcPr>
            <w:tcW w:type="dxa" w:w="4968"/>
          </w:tcPr>
          <w:p>
            <w:r>
              <w:rPr>
                <w:sz w:val="17"/>
              </w:rPr>
            </w:r>
            <w:r>
              <w:rPr>
                <w:sz w:val="17"/>
              </w:rPr>
              <w:t>Points</w:t>
            </w:r>
          </w:p>
        </w:tc>
        <w:tc>
          <w:tcPr>
            <w:tcW w:type="dxa" w:w="4968"/>
          </w:tcPr>
          <w:p>
            <w:r>
              <w:rPr>
                <w:sz w:val="17"/>
              </w:rPr>
            </w:r>
            <w:r>
              <w:rPr>
                <w:sz w:val="17"/>
              </w:rPr>
              <w:t>TBD at refinement</w:t>
            </w:r>
          </w:p>
        </w:tc>
      </w:tr>
      <w:tr>
        <w:tc>
          <w:tcPr>
            <w:tcW w:type="dxa" w:w="4968"/>
          </w:tcPr>
          <w:p>
            <w:r>
              <w:rPr>
                <w:sz w:val="17"/>
              </w:rPr>
            </w:r>
            <w:r>
              <w:rPr>
                <w:sz w:val="17"/>
              </w:rPr>
              <w:t>ADO note</w:t>
            </w:r>
          </w:p>
        </w:tc>
        <w:tc>
          <w:tcPr>
            <w:tcW w:type="dxa" w:w="4968"/>
          </w:tcPr>
          <w:p>
            <w:r>
              <w:rPr>
                <w:sz w:val="17"/>
              </w:rPr>
            </w:r>
            <w:r>
              <w:rPr>
                <w:sz w:val="17"/>
              </w:rPr>
              <w:t>Net-new — clones pilot 1402962 (kick-off/training) + 1402984 (office hours), re-scoped to Database</w:t>
            </w:r>
          </w:p>
        </w:tc>
      </w:tr>
      <w:tr>
        <w:tc>
          <w:tcPr>
            <w:tcW w:type="dxa" w:w="4968"/>
          </w:tcPr>
          <w:p>
            <w:r>
              <w:rPr>
                <w:sz w:val="17"/>
              </w:rPr>
            </w:r>
            <w:r>
              <w:rPr>
                <w:sz w:val="17"/>
              </w:rPr>
              <w:t>Depends on</w:t>
            </w:r>
          </w:p>
        </w:tc>
        <w:tc>
          <w:tcPr>
            <w:tcW w:type="dxa" w:w="4968"/>
          </w:tcPr>
          <w:p>
            <w:r>
              <w:rPr>
                <w:sz w:val="17"/>
              </w:rPr>
            </w:r>
            <w:r>
              <w:rPr>
                <w:sz w:val="17"/>
              </w:rPr>
              <w:t>DB-2, DB-4</w:t>
            </w:r>
          </w:p>
        </w:tc>
      </w:tr>
      <w:tr>
        <w:tc>
          <w:tcPr>
            <w:tcW w:type="dxa" w:w="4968"/>
          </w:tcPr>
          <w:p>
            <w:r>
              <w:rPr>
                <w:sz w:val="17"/>
              </w:rPr>
            </w:r>
            <w:r>
              <w:rPr>
                <w:sz w:val="17"/>
              </w:rPr>
              <w:t>Tags</w:t>
            </w:r>
          </w:p>
        </w:tc>
        <w:tc>
          <w:tcPr>
            <w:tcW w:type="dxa" w:w="4968"/>
          </w:tcPr>
          <w:p>
            <w:r>
              <w:rPr>
                <w:sz w:val="17"/>
              </w:rPr>
            </w:r>
            <w:r>
              <w:rPr>
                <w:rFonts w:ascii="Consolas" w:hAnsi="Consolas"/>
                <w:sz w:val="17"/>
              </w:rPr>
              <w:t>Data-Certification</w:t>
            </w:r>
            <w:r>
              <w:rPr>
                <w:sz w:val="17"/>
              </w:rPr>
              <w:t xml:space="preserve"> </w:t>
            </w:r>
            <w:r>
              <w:rPr>
                <w:rFonts w:ascii="Consolas" w:hAnsi="Consolas"/>
                <w:sz w:val="17"/>
              </w:rPr>
              <w:t>Database</w:t>
            </w:r>
            <w:r>
              <w:rPr>
                <w:sz w:val="17"/>
              </w:rPr>
              <w:t xml:space="preserve"> </w:t>
            </w:r>
            <w:r>
              <w:rPr>
                <w:rFonts w:ascii="Consolas" w:hAnsi="Consolas"/>
                <w:sz w:val="17"/>
              </w:rPr>
              <w:t>Training</w:t>
            </w:r>
            <w:r>
              <w:rPr>
                <w:sz w:val="17"/>
              </w:rPr>
              <w:t xml:space="preserve"> </w:t>
            </w:r>
            <w:r>
              <w:rPr>
                <w:rFonts w:ascii="Consolas" w:hAnsi="Consolas"/>
                <w:sz w:val="17"/>
              </w:rPr>
              <w:t>CO6-Obj3</w:t>
            </w:r>
          </w:p>
        </w:tc>
      </w:tr>
    </w:tbl>
    <w:p>
      <w:pPr>
        <w:spacing w:after="40"/>
      </w:pPr>
    </w:p>
    <w:p>
      <w:pPr>
        <w:spacing w:after="60"/>
      </w:pPr>
      <w:r>
        <w:rPr>
          <w:b/>
        </w:rPr>
        <w:t>As</w:t>
      </w:r>
      <w:r>
        <w:t xml:space="preserve"> the CMDB Configuration Management Process Owner,</w:t>
      </w:r>
    </w:p>
    <w:p>
      <w:pPr>
        <w:spacing w:after="60"/>
      </w:pPr>
      <w:r>
        <w:rPr>
          <w:b/>
        </w:rPr>
        <w:t>I want</w:t>
      </w:r>
      <w:r>
        <w:t xml:space="preserve"> Database CI owners trained on the certification process — how to attest, correct gaps, and use office hours,</w:t>
      </w:r>
    </w:p>
    <w:p>
      <w:pPr>
        <w:spacing w:after="60"/>
      </w:pPr>
      <w:r>
        <w:rPr>
          <w:b/>
        </w:rPr>
        <w:t>So that</w:t>
      </w:r>
      <w:r>
        <w:t xml:space="preserve"> owners can sustain certification independently and the CO6 "training delivered" artifact is satisfied for the Database class.</w:t>
      </w:r>
    </w:p>
    <w:p>
      <w:pPr>
        <w:spacing w:after="60"/>
      </w:pPr>
      <w:r>
        <w:rPr>
          <w:b/>
        </w:rPr>
        <w:t>Acceptance criteria:</w:t>
      </w:r>
    </w:p>
    <w:p>
      <w:pPr>
        <w:spacing w:after="40"/>
        <w:ind w:left="360"/>
      </w:pPr>
      <w:r>
        <w:rPr>
          <w:color w:val="2E6DB4"/>
        </w:rPr>
        <w:t xml:space="preserve">☐  </w:t>
      </w:r>
      <w:r>
        <w:t>Training material produced covering the Database certification workflow (attest, remediate, re-attest) per DB-1</w:t>
      </w:r>
    </w:p>
    <w:p>
      <w:pPr>
        <w:spacing w:after="40"/>
        <w:ind w:left="360"/>
      </w:pPr>
      <w:r>
        <w:rPr>
          <w:color w:val="2E6DB4"/>
        </w:rPr>
        <w:t xml:space="preserve">☐  </w:t>
      </w:r>
      <w:r>
        <w:t>Training delivered to the Database CI owner / support-group audience; attendance or distribution recorded</w:t>
      </w:r>
    </w:p>
    <w:p>
      <w:pPr>
        <w:spacing w:after="40"/>
        <w:ind w:left="360"/>
      </w:pPr>
      <w:r>
        <w:rPr>
          <w:color w:val="2E6DB4"/>
        </w:rPr>
        <w:t xml:space="preserve">☐  </w:t>
      </w:r>
      <w:r>
        <w:t>Office-hours / support channel established and communicated</w:t>
      </w:r>
    </w:p>
    <w:p>
      <w:pPr>
        <w:spacing w:after="40"/>
        <w:ind w:left="360"/>
      </w:pPr>
      <w:r>
        <w:rPr>
          <w:color w:val="2E6DB4"/>
        </w:rPr>
        <w:t xml:space="preserve">☐  </w:t>
      </w:r>
      <w:r>
        <w:t>Quick-reference (job aid) distributed to owners</w:t>
      </w:r>
    </w:p>
    <w:p>
      <w:pPr>
        <w:spacing w:after="40"/>
        <w:ind w:left="360"/>
      </w:pPr>
      <w:r>
        <w:rPr>
          <w:color w:val="2E6DB4"/>
        </w:rPr>
        <w:t xml:space="preserve">☐  </w:t>
      </w:r>
      <w:r>
        <w:t>Training completion evidenced for the Oct 30 gate (session recording, deck, or sign-off log)</w:t>
      </w:r>
    </w:p>
    <w:p>
      <w:pPr>
        <w:spacing w:after="40"/>
        <w:ind w:left="360"/>
      </w:pPr>
      <w:r>
        <w:rPr>
          <w:color w:val="2E6DB4"/>
        </w:rPr>
        <w:t xml:space="preserve">☐  </w:t>
      </w:r>
      <w:r>
        <w:t>PO (Joe Dames) confirms the training artifact satisfies the CO6 Database certification acceptance criterion</w:t>
      </w:r>
    </w:p>
    <w:p>
      <w:pPr>
        <w:spacing w:after="60"/>
      </w:pPr>
      <w:r>
        <w:rPr>
          <w:b/>
        </w:rPr>
        <w:t>Gate note:</w:t>
      </w:r>
      <w:r>
        <w:t xml:space="preserve"> build done by end of Sprint 3.5 (Oct 13); training/validation sign-off completes in </w:t>
      </w:r>
      <w:r>
        <w:rPr>
          <w:b/>
        </w:rPr>
        <w:t>3.6 IP (Oct 14–27)</w:t>
      </w:r>
      <w:r>
        <w:t xml:space="preserve"> ahead of the Oct 30 external date.</w:t>
      </w:r>
    </w:p>
    <w:p>
      <w:pPr>
        <w:spacing w:before="160" w:after="80"/>
      </w:pPr>
      <w:r>
        <w:rPr>
          <w:b/>
          <w:color w:val="2E6DB4"/>
          <w:sz w:val="26"/>
        </w:rPr>
        <w:t>Dependencies (6)</w:t>
      </w:r>
    </w:p>
    <w:p>
      <w:pPr>
        <w:spacing w:after="60"/>
      </w:pPr>
      <w:r>
        <w:rPr>
          <w:b/>
        </w:rPr>
        <w:t>Work item type:</w:t>
      </w:r>
      <w:r>
        <w:t xml:space="preserve"> Dependency · </w:t>
      </w:r>
      <w:r>
        <w:rPr>
          <w:b/>
        </w:rPr>
        <w:t>Linked to:</w:t>
      </w:r>
      <w:r>
        <w:t xml:space="preserve"> Feature 1517037 (Blocked By) · </w:t>
      </w:r>
      <w:r>
        <w:rPr>
          <w:b/>
        </w:rPr>
        <w:t>Area path:</w:t>
      </w:r>
      <w:r>
        <w:t xml:space="preserve"> A-INFOPS\FY26\PI3</w:t>
      </w:r>
    </w:p>
    <w:p>
      <w:pPr>
        <w:spacing w:after="60"/>
      </w:pPr>
      <w:r>
        <w:t xml:space="preserve">Each dependency is stated as </w:t>
      </w:r>
      <w:r>
        <w:rPr>
          <w:b/>
        </w:rPr>
        <w:t>Problem</w:t>
      </w:r>
      <w:r>
        <w:t xml:space="preserve"> (why it blocks) + </w:t>
      </w:r>
      <w:r>
        <w:rPr>
          <w:b/>
        </w:rPr>
        <w:t>Acceptance criteria</w:t>
      </w:r>
      <w:r>
        <w:t xml:space="preserve"> (what "resolved" looks like), per SAFe.</w:t>
      </w:r>
    </w:p>
    <w:p>
      <w:r>
        <w:br w:type="page"/>
      </w:r>
    </w:p>
    <w:p>
      <w:pPr>
        <w:spacing w:before="0" w:after="80"/>
      </w:pPr>
      <w:r>
        <w:rPr>
          <w:b/>
          <w:color w:val="1F3A5F"/>
          <w:sz w:val="28"/>
        </w:rPr>
        <w:t>DEP-1 · Database audit-dashboard scope + gap-remediation spike (1480113) closed</w:t>
      </w:r>
    </w:p>
    <w:tbl>
      <w:tblPr>
        <w:tblStyle w:val="LightGrid-Accent1"/>
        <w:tblW w:type="auto" w:w="0"/>
        <w:jc w:val="center"/>
        <w:tblLook w:firstColumn="1" w:firstRow="1" w:lastColumn="0" w:lastRow="0" w:noHBand="0" w:noVBand="1" w:val="04A0"/>
      </w:tblPr>
      <w:tblGrid>
        <w:gridCol w:w="4968"/>
        <w:gridCol w:w="4968"/>
      </w:tblGrid>
      <w:tr>
        <w:tc>
          <w:tcPr>
            <w:tcW w:type="dxa" w:w="4968"/>
          </w:tcPr>
          <w:p>
            <w:r>
              <w:rPr>
                <w:b/>
                <w:sz w:val="17"/>
              </w:rPr>
            </w:r>
            <w:r>
              <w:rPr>
                <w:b/>
                <w:sz w:val="17"/>
              </w:rPr>
              <w:t>Field</w:t>
            </w:r>
          </w:p>
        </w:tc>
        <w:tc>
          <w:tcPr>
            <w:tcW w:type="dxa" w:w="4968"/>
          </w:tcPr>
          <w:p>
            <w:r>
              <w:rPr>
                <w:b/>
                <w:sz w:val="17"/>
              </w:rPr>
            </w:r>
            <w:r>
              <w:rPr>
                <w:b/>
                <w:sz w:val="17"/>
              </w:rPr>
              <w:t>Value</w:t>
            </w:r>
          </w:p>
        </w:tc>
      </w:tr>
      <w:tr>
        <w:tc>
          <w:tcPr>
            <w:tcW w:type="dxa" w:w="4968"/>
          </w:tcPr>
          <w:p>
            <w:r>
              <w:rPr>
                <w:sz w:val="17"/>
              </w:rPr>
            </w:r>
            <w:r>
              <w:rPr>
                <w:sz w:val="17"/>
              </w:rPr>
              <w:t>Title</w:t>
            </w:r>
          </w:p>
        </w:tc>
        <w:tc>
          <w:tcPr>
            <w:tcW w:type="dxa" w:w="4968"/>
          </w:tcPr>
          <w:p>
            <w:r>
              <w:rPr>
                <w:sz w:val="17"/>
              </w:rPr>
            </w:r>
            <w:r>
              <w:rPr>
                <w:sz w:val="17"/>
              </w:rPr>
              <w:t>[Dependency] Close Database audit spike 1480113 — Feature 1517037</w:t>
            </w:r>
          </w:p>
        </w:tc>
      </w:tr>
      <w:tr>
        <w:tc>
          <w:tcPr>
            <w:tcW w:type="dxa" w:w="4968"/>
          </w:tcPr>
          <w:p>
            <w:r>
              <w:rPr>
                <w:sz w:val="17"/>
              </w:rPr>
            </w:r>
            <w:r>
              <w:rPr>
                <w:sz w:val="17"/>
              </w:rPr>
              <w:t>Assigned To</w:t>
            </w:r>
          </w:p>
        </w:tc>
        <w:tc>
          <w:tcPr>
            <w:tcW w:type="dxa" w:w="4968"/>
          </w:tcPr>
          <w:p>
            <w:r>
              <w:rPr>
                <w:sz w:val="17"/>
              </w:rPr>
            </w:r>
            <w:r>
              <w:rPr>
                <w:sz w:val="17"/>
              </w:rPr>
              <w:t>Stan (confirm)</w:t>
            </w:r>
          </w:p>
        </w:tc>
      </w:tr>
      <w:tr>
        <w:tc>
          <w:tcPr>
            <w:tcW w:type="dxa" w:w="4968"/>
          </w:tcPr>
          <w:p>
            <w:r>
              <w:rPr>
                <w:sz w:val="17"/>
              </w:rPr>
            </w:r>
            <w:r>
              <w:rPr>
                <w:sz w:val="17"/>
              </w:rPr>
              <w:t>Priority</w:t>
            </w:r>
          </w:p>
        </w:tc>
        <w:tc>
          <w:tcPr>
            <w:tcW w:type="dxa" w:w="4968"/>
          </w:tcPr>
          <w:p>
            <w:r>
              <w:rPr>
                <w:sz w:val="17"/>
              </w:rPr>
            </w:r>
            <w:r>
              <w:rPr>
                <w:sz w:val="17"/>
              </w:rPr>
              <w:t>1</w:t>
            </w:r>
          </w:p>
        </w:tc>
      </w:tr>
      <w:tr>
        <w:tc>
          <w:tcPr>
            <w:tcW w:type="dxa" w:w="4968"/>
          </w:tcPr>
          <w:p>
            <w:r>
              <w:rPr>
                <w:sz w:val="17"/>
              </w:rPr>
            </w:r>
            <w:r>
              <w:rPr>
                <w:sz w:val="17"/>
              </w:rPr>
              <w:t>State</w:t>
            </w:r>
          </w:p>
        </w:tc>
        <w:tc>
          <w:tcPr>
            <w:tcW w:type="dxa" w:w="4968"/>
          </w:tcPr>
          <w:p>
            <w:r>
              <w:rPr>
                <w:sz w:val="17"/>
              </w:rPr>
            </w:r>
            <w:r>
              <w:rPr>
                <w:b/>
                <w:sz w:val="17"/>
              </w:rPr>
              <w:t>Open</w:t>
            </w:r>
            <w:r>
              <w:rPr>
                <w:sz w:val="17"/>
              </w:rPr>
              <w:t xml:space="preserve"> (PI-2 carryover) — ⚠️ not shown on the ADO PI2.6 view of 2026-07-28; the sibling audit spikes closed (Computer 1480114, Server 1480112) but </w:t>
            </w:r>
            <w:r>
              <w:rPr>
                <w:b/>
                <w:sz w:val="17"/>
              </w:rPr>
              <w:t>1480113's status is unconfirmed</w:t>
            </w:r>
            <w:r>
              <w:rPr>
                <w:sz w:val="17"/>
              </w:rPr>
              <w:t xml:space="preserve"> — verify in ADO</w:t>
            </w:r>
          </w:p>
        </w:tc>
      </w:tr>
      <w:tr>
        <w:tc>
          <w:tcPr>
            <w:tcW w:type="dxa" w:w="4968"/>
          </w:tcPr>
          <w:p>
            <w:r>
              <w:rPr>
                <w:sz w:val="17"/>
              </w:rPr>
            </w:r>
            <w:r>
              <w:rPr>
                <w:sz w:val="17"/>
              </w:rPr>
              <w:t>Due Date</w:t>
            </w:r>
          </w:p>
        </w:tc>
        <w:tc>
          <w:tcPr>
            <w:tcW w:type="dxa" w:w="4968"/>
          </w:tcPr>
          <w:p>
            <w:r>
              <w:rPr>
                <w:sz w:val="17"/>
              </w:rPr>
            </w:r>
            <w:r>
              <w:rPr>
                <w:sz w:val="17"/>
              </w:rPr>
              <w:t>2026-09-02</w:t>
            </w:r>
          </w:p>
        </w:tc>
      </w:tr>
    </w:tbl>
    <w:p>
      <w:pPr>
        <w:spacing w:after="40"/>
      </w:pPr>
    </w:p>
    <w:p>
      <w:pPr>
        <w:spacing w:after="60"/>
      </w:pPr>
      <w:r>
        <w:rPr>
          <w:b/>
        </w:rPr>
        <w:t>Problem:</w:t>
      </w:r>
      <w:r>
        <w:t xml:space="preserve"> DB-1 documents the certification process *off the 1480113 gap-remediation plan*, and DB-3's dashboard cross-checks the same audit gaps. If 1480113 has not closed, the Database attribute gap picture is undefined and DB-1 cannot anchor to it.</w:t>
      </w:r>
    </w:p>
    <w:p>
      <w:pPr>
        <w:spacing w:after="60"/>
      </w:pPr>
      <w:r>
        <w:rPr>
          <w:b/>
        </w:rPr>
        <w:t>Acceptance criteria:</w:t>
      </w:r>
    </w:p>
    <w:p>
      <w:pPr>
        <w:spacing w:after="40"/>
        <w:ind w:left="360"/>
      </w:pPr>
      <w:r>
        <w:rPr>
          <w:color w:val="2E6DB4"/>
        </w:rPr>
        <w:t xml:space="preserve">☐  </w:t>
      </w:r>
      <w:r>
        <w:t>Spike 1480113 completed and its Database gap-remediation plan published</w:t>
      </w:r>
    </w:p>
    <w:p>
      <w:pPr>
        <w:spacing w:after="40"/>
        <w:ind w:left="360"/>
      </w:pPr>
      <w:r>
        <w:rPr>
          <w:color w:val="2E6DB4"/>
        </w:rPr>
        <w:t xml:space="preserve">☐  </w:t>
      </w:r>
      <w:r>
        <w:t>Audited Database attribute gaps quantified (incl. Missing Environment ~1,187, Value Stream ~100%, Approval Group ~99.9%) and available as DB-1/DB-3 input</w:t>
      </w:r>
    </w:p>
    <w:p>
      <w:pPr>
        <w:spacing w:after="40"/>
        <w:ind w:left="360"/>
      </w:pPr>
      <w:r>
        <w:rPr>
          <w:color w:val="2E6DB4"/>
        </w:rPr>
        <w:t xml:space="preserve">☐  </w:t>
      </w:r>
      <w:r>
        <w:t>Gap plan reviewed with the Database CCB Class Manager, Ray Reuter (links DEP-5)</w:t>
      </w:r>
    </w:p>
    <w:p>
      <w:r>
        <w:br w:type="page"/>
      </w:r>
    </w:p>
    <w:p>
      <w:pPr>
        <w:spacing w:before="0" w:after="80"/>
      </w:pPr>
      <w:r>
        <w:rPr>
          <w:b/>
          <w:color w:val="1F3A5F"/>
          <w:sz w:val="28"/>
        </w:rPr>
        <w:t>DEP-2 · Data Dictionary CCB approval — Database attributes (1480098)</w:t>
      </w:r>
    </w:p>
    <w:tbl>
      <w:tblPr>
        <w:tblStyle w:val="LightGrid-Accent1"/>
        <w:tblW w:type="auto" w:w="0"/>
        <w:jc w:val="center"/>
        <w:tblLook w:firstColumn="1" w:firstRow="1" w:lastColumn="0" w:lastRow="0" w:noHBand="0" w:noVBand="1" w:val="04A0"/>
      </w:tblPr>
      <w:tblGrid>
        <w:gridCol w:w="4968"/>
        <w:gridCol w:w="4968"/>
      </w:tblGrid>
      <w:tr>
        <w:tc>
          <w:tcPr>
            <w:tcW w:type="dxa" w:w="4968"/>
          </w:tcPr>
          <w:p>
            <w:r>
              <w:rPr>
                <w:b/>
                <w:sz w:val="17"/>
              </w:rPr>
            </w:r>
            <w:r>
              <w:rPr>
                <w:b/>
                <w:sz w:val="17"/>
              </w:rPr>
              <w:t>Field</w:t>
            </w:r>
          </w:p>
        </w:tc>
        <w:tc>
          <w:tcPr>
            <w:tcW w:type="dxa" w:w="4968"/>
          </w:tcPr>
          <w:p>
            <w:r>
              <w:rPr>
                <w:b/>
                <w:sz w:val="17"/>
              </w:rPr>
            </w:r>
            <w:r>
              <w:rPr>
                <w:b/>
                <w:sz w:val="17"/>
              </w:rPr>
              <w:t>Value</w:t>
            </w:r>
          </w:p>
        </w:tc>
      </w:tr>
      <w:tr>
        <w:tc>
          <w:tcPr>
            <w:tcW w:type="dxa" w:w="4968"/>
          </w:tcPr>
          <w:p>
            <w:r>
              <w:rPr>
                <w:sz w:val="17"/>
              </w:rPr>
            </w:r>
            <w:r>
              <w:rPr>
                <w:sz w:val="17"/>
              </w:rPr>
              <w:t>Title</w:t>
            </w:r>
          </w:p>
        </w:tc>
        <w:tc>
          <w:tcPr>
            <w:tcW w:type="dxa" w:w="4968"/>
          </w:tcPr>
          <w:p>
            <w:r>
              <w:rPr>
                <w:sz w:val="17"/>
              </w:rPr>
            </w:r>
            <w:r>
              <w:rPr>
                <w:sz w:val="17"/>
              </w:rPr>
              <w:t>[Dependency] Data Dictionary CCB approval covering Database attributes — Feature 1517037</w:t>
            </w:r>
          </w:p>
        </w:tc>
      </w:tr>
      <w:tr>
        <w:tc>
          <w:tcPr>
            <w:tcW w:type="dxa" w:w="4968"/>
          </w:tcPr>
          <w:p>
            <w:r>
              <w:rPr>
                <w:sz w:val="17"/>
              </w:rPr>
            </w:r>
            <w:r>
              <w:rPr>
                <w:sz w:val="17"/>
              </w:rPr>
              <w:t>Assigned To</w:t>
            </w:r>
          </w:p>
        </w:tc>
        <w:tc>
          <w:tcPr>
            <w:tcW w:type="dxa" w:w="4968"/>
          </w:tcPr>
          <w:p>
            <w:r>
              <w:rPr>
                <w:sz w:val="17"/>
              </w:rPr>
            </w:r>
            <w:r>
              <w:rPr>
                <w:sz w:val="17"/>
              </w:rPr>
              <w:t>Manuel Vazquez / Josh Sterling (CCB Chair)</w:t>
            </w:r>
          </w:p>
        </w:tc>
      </w:tr>
      <w:tr>
        <w:tc>
          <w:tcPr>
            <w:tcW w:type="dxa" w:w="4968"/>
          </w:tcPr>
          <w:p>
            <w:r>
              <w:rPr>
                <w:sz w:val="17"/>
              </w:rPr>
            </w:r>
            <w:r>
              <w:rPr>
                <w:sz w:val="17"/>
              </w:rPr>
              <w:t>Priority</w:t>
            </w:r>
          </w:p>
        </w:tc>
        <w:tc>
          <w:tcPr>
            <w:tcW w:type="dxa" w:w="4968"/>
          </w:tcPr>
          <w:p>
            <w:r>
              <w:rPr>
                <w:sz w:val="17"/>
              </w:rPr>
            </w:r>
            <w:r>
              <w:rPr>
                <w:sz w:val="17"/>
              </w:rPr>
              <w:t>1</w:t>
            </w:r>
          </w:p>
        </w:tc>
      </w:tr>
      <w:tr>
        <w:tc>
          <w:tcPr>
            <w:tcW w:type="dxa" w:w="4968"/>
          </w:tcPr>
          <w:p>
            <w:r>
              <w:rPr>
                <w:sz w:val="17"/>
              </w:rPr>
            </w:r>
            <w:r>
              <w:rPr>
                <w:sz w:val="17"/>
              </w:rPr>
              <w:t>State</w:t>
            </w:r>
          </w:p>
        </w:tc>
        <w:tc>
          <w:tcPr>
            <w:tcW w:type="dxa" w:w="4968"/>
          </w:tcPr>
          <w:p>
            <w:r>
              <w:rPr>
                <w:sz w:val="17"/>
              </w:rPr>
            </w:r>
            <w:r>
              <w:rPr>
                <w:sz w:val="17"/>
              </w:rPr>
              <w:t>Open (story 1480098 — closes CO5 gap G1)</w:t>
            </w:r>
          </w:p>
        </w:tc>
      </w:tr>
      <w:tr>
        <w:tc>
          <w:tcPr>
            <w:tcW w:type="dxa" w:w="4968"/>
          </w:tcPr>
          <w:p>
            <w:r>
              <w:rPr>
                <w:sz w:val="17"/>
              </w:rPr>
            </w:r>
            <w:r>
              <w:rPr>
                <w:sz w:val="17"/>
              </w:rPr>
              <w:t>Due Date</w:t>
            </w:r>
          </w:p>
        </w:tc>
        <w:tc>
          <w:tcPr>
            <w:tcW w:type="dxa" w:w="4968"/>
          </w:tcPr>
          <w:p>
            <w:r>
              <w:rPr>
                <w:sz w:val="17"/>
              </w:rPr>
            </w:r>
            <w:r>
              <w:rPr>
                <w:sz w:val="17"/>
              </w:rPr>
              <w:t>2026-09-02</w:t>
            </w:r>
          </w:p>
        </w:tc>
      </w:tr>
    </w:tbl>
    <w:p>
      <w:pPr>
        <w:spacing w:after="40"/>
      </w:pPr>
    </w:p>
    <w:p>
      <w:pPr>
        <w:spacing w:after="60"/>
      </w:pPr>
      <w:r>
        <w:rPr>
          <w:b/>
        </w:rPr>
        <w:t>Problem:</w:t>
      </w:r>
      <w:r>
        <w:t xml:space="preserve"> DB-2 configures attestation rules against the Database managed-attribute set. If the Data Dictionary (1480098) is not CCB-approved, the certified attribute list can still change under the team, forcing rework of the PROD build.</w:t>
      </w:r>
    </w:p>
    <w:p>
      <w:pPr>
        <w:spacing w:after="60"/>
      </w:pPr>
      <w:r>
        <w:rPr>
          <w:b/>
        </w:rPr>
        <w:t>Acceptance criteria:</w:t>
      </w:r>
    </w:p>
    <w:p>
      <w:pPr>
        <w:spacing w:after="40"/>
        <w:ind w:left="360"/>
      </w:pPr>
      <w:r>
        <w:rPr>
          <w:color w:val="2E6DB4"/>
        </w:rPr>
        <w:t xml:space="preserve">☐  </w:t>
      </w:r>
      <w:r>
        <w:t>Data Dictionary CCB approval recorded covering the Database managed attributes and field mappings (</w:t>
      </w:r>
      <w:r>
        <w:rPr>
          <w:rFonts w:ascii="Consolas" w:hAnsi="Consolas"/>
          <w:sz w:val="18"/>
        </w:rPr>
        <w:t>managed_by</w:t>
      </w:r>
      <w:r>
        <w:t xml:space="preserve">, </w:t>
      </w:r>
      <w:r>
        <w:rPr>
          <w:rFonts w:ascii="Consolas" w:hAnsi="Consolas"/>
          <w:sz w:val="18"/>
        </w:rPr>
        <w:t>managed_by_group</w:t>
      </w:r>
      <w:r>
        <w:t xml:space="preserve">, </w:t>
      </w:r>
      <w:r>
        <w:rPr>
          <w:rFonts w:ascii="Consolas" w:hAnsi="Consolas"/>
          <w:sz w:val="18"/>
        </w:rPr>
        <w:t>support_group</w:t>
      </w:r>
      <w:r>
        <w:t xml:space="preserve">, </w:t>
      </w:r>
      <w:r>
        <w:rPr>
          <w:rFonts w:ascii="Consolas" w:hAnsi="Consolas"/>
          <w:sz w:val="18"/>
        </w:rPr>
        <w:t>environment</w:t>
      </w:r>
      <w:r>
        <w:t xml:space="preserve">, </w:t>
      </w:r>
      <w:r>
        <w:rPr>
          <w:rFonts w:ascii="Consolas" w:hAnsi="Consolas"/>
          <w:sz w:val="18"/>
        </w:rPr>
        <w:t>location</w:t>
      </w:r>
      <w:r>
        <w:t>)</w:t>
      </w:r>
    </w:p>
    <w:p>
      <w:pPr>
        <w:spacing w:after="40"/>
        <w:ind w:left="360"/>
      </w:pPr>
      <w:r>
        <w:rPr>
          <w:color w:val="2E6DB4"/>
        </w:rPr>
        <w:t xml:space="preserve">☐  </w:t>
      </w:r>
      <w:r>
        <w:t>Approved attribute set matches the set configured in DB-2 — no drift</w:t>
      </w:r>
    </w:p>
    <w:p>
      <w:pPr>
        <w:spacing w:after="40"/>
        <w:ind w:left="360"/>
      </w:pPr>
      <w:r>
        <w:rPr>
          <w:color w:val="2E6DB4"/>
        </w:rPr>
        <w:t xml:space="preserve">☐  </w:t>
      </w:r>
      <w:r>
        <w:t>Approval date and CCB decision referenced in DB-1 / DB-2</w:t>
      </w:r>
    </w:p>
    <w:p>
      <w:r>
        <w:br w:type="page"/>
      </w:r>
    </w:p>
    <w:p>
      <w:pPr>
        <w:spacing w:before="0" w:after="80"/>
      </w:pPr>
      <w:r>
        <w:rPr>
          <w:b/>
          <w:color w:val="1F3A5F"/>
          <w:sz w:val="28"/>
        </w:rPr>
        <w:t>DEP-3 · Reconcile the Database attribute set — audit dashboard vs. dictionary slide (BLOCKING)</w:t>
      </w:r>
    </w:p>
    <w:tbl>
      <w:tblPr>
        <w:tblStyle w:val="LightGrid-Accent1"/>
        <w:tblW w:type="auto" w:w="0"/>
        <w:jc w:val="center"/>
        <w:tblLook w:firstColumn="1" w:firstRow="1" w:lastColumn="0" w:lastRow="0" w:noHBand="0" w:noVBand="1" w:val="04A0"/>
      </w:tblPr>
      <w:tblGrid>
        <w:gridCol w:w="4968"/>
        <w:gridCol w:w="4968"/>
      </w:tblGrid>
      <w:tr>
        <w:tc>
          <w:tcPr>
            <w:tcW w:type="dxa" w:w="4968"/>
          </w:tcPr>
          <w:p>
            <w:r>
              <w:rPr>
                <w:b/>
                <w:sz w:val="17"/>
              </w:rPr>
            </w:r>
            <w:r>
              <w:rPr>
                <w:b/>
                <w:sz w:val="17"/>
              </w:rPr>
              <w:t>Field</w:t>
            </w:r>
          </w:p>
        </w:tc>
        <w:tc>
          <w:tcPr>
            <w:tcW w:type="dxa" w:w="4968"/>
          </w:tcPr>
          <w:p>
            <w:r>
              <w:rPr>
                <w:b/>
                <w:sz w:val="17"/>
              </w:rPr>
            </w:r>
            <w:r>
              <w:rPr>
                <w:b/>
                <w:sz w:val="17"/>
              </w:rPr>
              <w:t>Value</w:t>
            </w:r>
          </w:p>
        </w:tc>
      </w:tr>
      <w:tr>
        <w:tc>
          <w:tcPr>
            <w:tcW w:type="dxa" w:w="4968"/>
          </w:tcPr>
          <w:p>
            <w:r>
              <w:rPr>
                <w:sz w:val="17"/>
              </w:rPr>
            </w:r>
            <w:r>
              <w:rPr>
                <w:sz w:val="17"/>
              </w:rPr>
              <w:t>Title</w:t>
            </w:r>
          </w:p>
        </w:tc>
        <w:tc>
          <w:tcPr>
            <w:tcW w:type="dxa" w:w="4968"/>
          </w:tcPr>
          <w:p>
            <w:r>
              <w:rPr>
                <w:sz w:val="17"/>
              </w:rPr>
            </w:r>
            <w:r>
              <w:rPr>
                <w:sz w:val="17"/>
              </w:rPr>
              <w:t>[Dependency] Reconcile Database attribute set (slide vs audit dashboard) — Feature 1517037</w:t>
            </w:r>
          </w:p>
        </w:tc>
      </w:tr>
      <w:tr>
        <w:tc>
          <w:tcPr>
            <w:tcW w:type="dxa" w:w="4968"/>
          </w:tcPr>
          <w:p>
            <w:r>
              <w:rPr>
                <w:sz w:val="17"/>
              </w:rPr>
            </w:r>
            <w:r>
              <w:rPr>
                <w:sz w:val="17"/>
              </w:rPr>
              <w:t>Assigned To</w:t>
            </w:r>
          </w:p>
        </w:tc>
        <w:tc>
          <w:tcPr>
            <w:tcW w:type="dxa" w:w="4968"/>
          </w:tcPr>
          <w:p>
            <w:r>
              <w:rPr>
                <w:sz w:val="17"/>
              </w:rPr>
            </w:r>
            <w:r>
              <w:rPr>
                <w:sz w:val="17"/>
              </w:rPr>
              <w:t>Manuel Vazquez / Ray Reuter</w:t>
            </w:r>
          </w:p>
        </w:tc>
      </w:tr>
      <w:tr>
        <w:tc>
          <w:tcPr>
            <w:tcW w:type="dxa" w:w="4968"/>
          </w:tcPr>
          <w:p>
            <w:r>
              <w:rPr>
                <w:sz w:val="17"/>
              </w:rPr>
            </w:r>
            <w:r>
              <w:rPr>
                <w:sz w:val="17"/>
              </w:rPr>
              <w:t>Priority</w:t>
            </w:r>
          </w:p>
        </w:tc>
        <w:tc>
          <w:tcPr>
            <w:tcW w:type="dxa" w:w="4968"/>
          </w:tcPr>
          <w:p>
            <w:r>
              <w:rPr>
                <w:sz w:val="17"/>
              </w:rPr>
            </w:r>
            <w:r>
              <w:rPr>
                <w:sz w:val="17"/>
              </w:rPr>
              <w:t>1</w:t>
            </w:r>
          </w:p>
        </w:tc>
      </w:tr>
      <w:tr>
        <w:tc>
          <w:tcPr>
            <w:tcW w:type="dxa" w:w="4968"/>
          </w:tcPr>
          <w:p>
            <w:r>
              <w:rPr>
                <w:sz w:val="17"/>
              </w:rPr>
            </w:r>
            <w:r>
              <w:rPr>
                <w:sz w:val="17"/>
              </w:rPr>
              <w:t>State</w:t>
            </w:r>
          </w:p>
        </w:tc>
        <w:tc>
          <w:tcPr>
            <w:tcW w:type="dxa" w:w="4968"/>
          </w:tcPr>
          <w:p>
            <w:r>
              <w:rPr>
                <w:sz w:val="17"/>
              </w:rPr>
            </w:r>
            <w:r>
              <w:rPr>
                <w:sz w:val="17"/>
              </w:rPr>
              <w:t>Open</w:t>
            </w:r>
          </w:p>
        </w:tc>
      </w:tr>
      <w:tr>
        <w:tc>
          <w:tcPr>
            <w:tcW w:type="dxa" w:w="4968"/>
          </w:tcPr>
          <w:p>
            <w:r>
              <w:rPr>
                <w:sz w:val="17"/>
              </w:rPr>
            </w:r>
            <w:r>
              <w:rPr>
                <w:sz w:val="17"/>
              </w:rPr>
              <w:t>Due Date</w:t>
            </w:r>
          </w:p>
        </w:tc>
        <w:tc>
          <w:tcPr>
            <w:tcW w:type="dxa" w:w="4968"/>
          </w:tcPr>
          <w:p>
            <w:r>
              <w:rPr>
                <w:sz w:val="17"/>
              </w:rPr>
            </w:r>
            <w:r>
              <w:rPr>
                <w:sz w:val="17"/>
              </w:rPr>
              <w:t>2026-09-02</w:t>
            </w:r>
          </w:p>
        </w:tc>
      </w:tr>
    </w:tbl>
    <w:p>
      <w:pPr>
        <w:spacing w:after="40"/>
      </w:pPr>
    </w:p>
    <w:p>
      <w:pPr>
        <w:spacing w:after="60"/>
      </w:pPr>
      <w:r>
        <w:rPr>
          <w:b/>
        </w:rPr>
        <w:t>Problem:</w:t>
      </w:r>
      <w:r>
        <w:t xml:space="preserve"> The Database managed-attribute slide (5 fields) and the 1480113 audit dashboard overlap on only </w:t>
      </w:r>
      <w:r>
        <w:rPr>
          <w:b/>
        </w:rPr>
        <w:t>3 of 8</w:t>
      </w:r>
      <w:r>
        <w:t xml:space="preserve"> fields. The dashboard's two largest gaps — Value Stream (</w:t>
      </w:r>
      <w:r>
        <w:rPr>
          <w:rFonts w:ascii="Consolas" w:hAnsi="Consolas"/>
          <w:sz w:val="18"/>
        </w:rPr>
        <w:t>business_unit</w:t>
      </w:r>
      <w:r>
        <w:t xml:space="preserve">, ~100% missing) and Approval Group (~99.9% missing) — are </w:t>
      </w:r>
      <w:r>
        <w:rPr>
          <w:b/>
        </w:rPr>
        <w:t>not</w:t>
      </w:r>
      <w:r>
        <w:t xml:space="preserve"> on the slide, while the slide adds Technical Owner Group and Location. If certification is configured off only the slide's 5 attributes, the certification KPI and the governance/audit report will measure different things and disagree at the gate.</w:t>
      </w:r>
    </w:p>
    <w:p>
      <w:pPr>
        <w:spacing w:after="60"/>
      </w:pPr>
      <w:r>
        <w:rPr>
          <w:b/>
        </w:rPr>
        <w:t>Acceptance criteria:</w:t>
      </w:r>
    </w:p>
    <w:p>
      <w:pPr>
        <w:spacing w:after="40"/>
        <w:ind w:left="360"/>
      </w:pPr>
      <w:r>
        <w:rPr>
          <w:color w:val="2E6DB4"/>
        </w:rPr>
        <w:t xml:space="preserve">☐  </w:t>
      </w:r>
      <w:r>
        <w:t>One authoritative Database certification attribute set agreed with Ray Reuter, reconciling the slide (CI Owner, Technical Owner Group, Support Group, Environment, Location) against the audit dashboard (adds Value Stream, SOX Type, Approval Group)</w:t>
      </w:r>
    </w:p>
    <w:p>
      <w:pPr>
        <w:spacing w:after="40"/>
        <w:ind w:left="360"/>
      </w:pPr>
      <w:r>
        <w:rPr>
          <w:color w:val="2E6DB4"/>
        </w:rPr>
        <w:t xml:space="preserve">☐  </w:t>
      </w:r>
      <w:r>
        <w:t>Decision recorded on whether Value Stream / SOX Type / Approval Group join the certified set</w:t>
      </w:r>
    </w:p>
    <w:p>
      <w:pPr>
        <w:spacing w:after="40"/>
        <w:ind w:left="360"/>
      </w:pPr>
      <w:r>
        <w:rPr>
          <w:color w:val="2E6DB4"/>
        </w:rPr>
        <w:t xml:space="preserve">☐  </w:t>
      </w:r>
      <w:r>
        <w:t>Reconciled set fed into DEP-2 (dictionary), DB-1, DB-2, and CP-3 so all measure the same thing</w:t>
      </w:r>
    </w:p>
    <w:p>
      <w:r>
        <w:br w:type="page"/>
      </w:r>
    </w:p>
    <w:p>
      <w:pPr>
        <w:spacing w:before="0" w:after="80"/>
      </w:pPr>
      <w:r>
        <w:rPr>
          <w:b/>
          <w:color w:val="1F3A5F"/>
          <w:sz w:val="28"/>
        </w:rPr>
        <w:t>DEP-4 · Database discovery data quality — Oracle / Kentucky visibility gap remediated</w:t>
      </w:r>
    </w:p>
    <w:tbl>
      <w:tblPr>
        <w:tblStyle w:val="LightGrid-Accent1"/>
        <w:tblW w:type="auto" w:w="0"/>
        <w:jc w:val="center"/>
        <w:tblLook w:firstColumn="1" w:firstRow="1" w:lastColumn="0" w:lastRow="0" w:noHBand="0" w:noVBand="1" w:val="04A0"/>
      </w:tblPr>
      <w:tblGrid>
        <w:gridCol w:w="4968"/>
        <w:gridCol w:w="4968"/>
      </w:tblGrid>
      <w:tr>
        <w:tc>
          <w:tcPr>
            <w:tcW w:type="dxa" w:w="4968"/>
          </w:tcPr>
          <w:p>
            <w:r>
              <w:rPr>
                <w:b/>
                <w:sz w:val="17"/>
              </w:rPr>
            </w:r>
            <w:r>
              <w:rPr>
                <w:b/>
                <w:sz w:val="17"/>
              </w:rPr>
              <w:t>Field</w:t>
            </w:r>
          </w:p>
        </w:tc>
        <w:tc>
          <w:tcPr>
            <w:tcW w:type="dxa" w:w="4968"/>
          </w:tcPr>
          <w:p>
            <w:r>
              <w:rPr>
                <w:b/>
                <w:sz w:val="17"/>
              </w:rPr>
            </w:r>
            <w:r>
              <w:rPr>
                <w:b/>
                <w:sz w:val="17"/>
              </w:rPr>
              <w:t>Value</w:t>
            </w:r>
          </w:p>
        </w:tc>
      </w:tr>
      <w:tr>
        <w:tc>
          <w:tcPr>
            <w:tcW w:type="dxa" w:w="4968"/>
          </w:tcPr>
          <w:p>
            <w:r>
              <w:rPr>
                <w:sz w:val="17"/>
              </w:rPr>
            </w:r>
            <w:r>
              <w:rPr>
                <w:sz w:val="17"/>
              </w:rPr>
              <w:t>Title</w:t>
            </w:r>
          </w:p>
        </w:tc>
        <w:tc>
          <w:tcPr>
            <w:tcW w:type="dxa" w:w="4968"/>
          </w:tcPr>
          <w:p>
            <w:r>
              <w:rPr>
                <w:sz w:val="17"/>
              </w:rPr>
            </w:r>
            <w:r>
              <w:rPr>
                <w:sz w:val="17"/>
              </w:rPr>
              <w:t>[Dependency] Remediate Oracle-KY DB discovery gap before certification — Feature 1517037</w:t>
            </w:r>
          </w:p>
        </w:tc>
      </w:tr>
      <w:tr>
        <w:tc>
          <w:tcPr>
            <w:tcW w:type="dxa" w:w="4968"/>
          </w:tcPr>
          <w:p>
            <w:r>
              <w:rPr>
                <w:sz w:val="17"/>
              </w:rPr>
            </w:r>
            <w:r>
              <w:rPr>
                <w:sz w:val="17"/>
              </w:rPr>
              <w:t>Assigned To</w:t>
            </w:r>
          </w:p>
        </w:tc>
        <w:tc>
          <w:tcPr>
            <w:tcW w:type="dxa" w:w="4968"/>
          </w:tcPr>
          <w:p>
            <w:r>
              <w:rPr>
                <w:sz w:val="17"/>
              </w:rPr>
            </w:r>
            <w:r>
              <w:rPr>
                <w:sz w:val="17"/>
              </w:rPr>
              <w:t>Stan Tomberg (confirm)</w:t>
            </w:r>
          </w:p>
        </w:tc>
      </w:tr>
      <w:tr>
        <w:tc>
          <w:tcPr>
            <w:tcW w:type="dxa" w:w="4968"/>
          </w:tcPr>
          <w:p>
            <w:r>
              <w:rPr>
                <w:sz w:val="17"/>
              </w:rPr>
            </w:r>
            <w:r>
              <w:rPr>
                <w:sz w:val="17"/>
              </w:rPr>
              <w:t>Priority</w:t>
            </w:r>
          </w:p>
        </w:tc>
        <w:tc>
          <w:tcPr>
            <w:tcW w:type="dxa" w:w="4968"/>
          </w:tcPr>
          <w:p>
            <w:r>
              <w:rPr>
                <w:sz w:val="17"/>
              </w:rPr>
            </w:r>
            <w:r>
              <w:rPr>
                <w:sz w:val="17"/>
              </w:rPr>
              <w:t>2</w:t>
            </w:r>
          </w:p>
        </w:tc>
      </w:tr>
      <w:tr>
        <w:tc>
          <w:tcPr>
            <w:tcW w:type="dxa" w:w="4968"/>
          </w:tcPr>
          <w:p>
            <w:r>
              <w:rPr>
                <w:sz w:val="17"/>
              </w:rPr>
            </w:r>
            <w:r>
              <w:rPr>
                <w:sz w:val="17"/>
              </w:rPr>
              <w:t>State</w:t>
            </w:r>
          </w:p>
        </w:tc>
        <w:tc>
          <w:tcPr>
            <w:tcW w:type="dxa" w:w="4968"/>
          </w:tcPr>
          <w:p>
            <w:r>
              <w:rPr>
                <w:sz w:val="17"/>
              </w:rPr>
            </w:r>
            <w:r>
              <w:rPr>
                <w:sz w:val="17"/>
              </w:rPr>
              <w:t xml:space="preserve">Open — now tracked in ADO as </w:t>
            </w:r>
            <w:r>
              <w:rPr>
                <w:b/>
                <w:sz w:val="17"/>
              </w:rPr>
              <w:t>Issue 1520824</w:t>
            </w:r>
            <w:r>
              <w:rPr>
                <w:sz w:val="17"/>
              </w:rPr>
              <w:t xml:space="preserve"> "Credential Issues impacting Linux\Database(oracle) discovery" (Active); RAID / DB app-probe credential coverage 1444864</w:t>
            </w:r>
          </w:p>
        </w:tc>
      </w:tr>
      <w:tr>
        <w:tc>
          <w:tcPr>
            <w:tcW w:type="dxa" w:w="4968"/>
          </w:tcPr>
          <w:p>
            <w:r>
              <w:rPr>
                <w:sz w:val="17"/>
              </w:rPr>
            </w:r>
            <w:r>
              <w:rPr>
                <w:sz w:val="17"/>
              </w:rPr>
              <w:t>Due Date</w:t>
            </w:r>
          </w:p>
        </w:tc>
        <w:tc>
          <w:tcPr>
            <w:tcW w:type="dxa" w:w="4968"/>
          </w:tcPr>
          <w:p>
            <w:r>
              <w:rPr>
                <w:sz w:val="17"/>
              </w:rPr>
            </w:r>
            <w:r>
              <w:rPr>
                <w:sz w:val="17"/>
              </w:rPr>
              <w:t>2026-09-16</w:t>
            </w:r>
          </w:p>
        </w:tc>
      </w:tr>
    </w:tbl>
    <w:p>
      <w:pPr>
        <w:spacing w:after="40"/>
      </w:pPr>
    </w:p>
    <w:p>
      <w:pPr>
        <w:spacing w:after="60"/>
      </w:pPr>
      <w:r>
        <w:rPr>
          <w:b/>
        </w:rPr>
        <w:t>Problem:</w:t>
      </w:r>
      <w:r>
        <w:t xml:space="preserve"> Certification attests that CMDB data is correct and current. Database instance data depends on ServiceNow application-probe discovery, which has a known </w:t>
      </w:r>
      <w:r>
        <w:rPr>
          <w:b/>
        </w:rPr>
        <w:t>Oracle / Kentucky authentication/visibility gap</w:t>
      </w:r>
      <w:r>
        <w:t xml:space="preserve"> — now tracked as ADO </w:t>
      </w:r>
      <w:r>
        <w:rPr>
          <w:b/>
        </w:rPr>
        <w:t>Issue 1520824</w:t>
      </w:r>
      <w:r>
        <w:t xml:space="preserve"> (Active) — plus broader DB credential-coverage risk (1444864). Related infra risk: </w:t>
      </w:r>
      <w:r>
        <w:rPr>
          <w:b/>
        </w:rPr>
        <w:t>Issue 1520799 "MID Server Disruption" (Active)</w:t>
      </w:r>
      <w:r>
        <w:t xml:space="preserve"> can interrupt discovery cycles. Certifying against a population where discovery cannot see or refresh instances produces false gaps owners cannot fix, and undermines the certification's validity.</w:t>
      </w:r>
    </w:p>
    <w:p>
      <w:pPr>
        <w:spacing w:before="60" w:after="60"/>
        <w:ind w:left="288"/>
      </w:pPr>
      <w:r>
        <w:rPr>
          <w:b/>
          <w:i/>
          <w:color w:val="6B7280"/>
        </w:rPr>
        <w:t>Related data-population item:</w:t>
      </w:r>
      <w:r>
        <w:rPr>
          <w:i/>
          <w:color w:val="6B7280"/>
        </w:rPr>
        <w:t xml:space="preserve"> ADO </w:t>
      </w:r>
      <w:r>
        <w:rPr>
          <w:b/>
          <w:i/>
          <w:color w:val="6B7280"/>
        </w:rPr>
        <w:t>1504309 "Database: Populate Environment Attribute" (Ready DoR)</w:t>
      </w:r>
      <w:r>
        <w:rPr>
          <w:i/>
          <w:color w:val="6B7280"/>
        </w:rPr>
        <w:t xml:space="preserve"> directly remediates the Missing-Environment gap (~1,187) that DB certification measures — track alongside this dependency.</w:t>
      </w:r>
    </w:p>
    <w:p>
      <w:pPr>
        <w:spacing w:after="60"/>
      </w:pPr>
      <w:r>
        <w:rPr>
          <w:b/>
        </w:rPr>
        <w:t>Acceptance criteria:</w:t>
      </w:r>
    </w:p>
    <w:p>
      <w:pPr>
        <w:spacing w:after="40"/>
        <w:ind w:left="360"/>
      </w:pPr>
      <w:r>
        <w:rPr>
          <w:color w:val="2E6DB4"/>
        </w:rPr>
        <w:t xml:space="preserve">☐  </w:t>
      </w:r>
      <w:r>
        <w:t>Oracle-KY discovery/authentication gap status confirmed — remediated, or the affected population explicitly scoped out of the first certification cycle with rationale</w:t>
      </w:r>
    </w:p>
    <w:p>
      <w:pPr>
        <w:spacing w:after="40"/>
        <w:ind w:left="360"/>
      </w:pPr>
      <w:r>
        <w:rPr>
          <w:color w:val="2E6DB4"/>
        </w:rPr>
        <w:t xml:space="preserve">☐  </w:t>
      </w:r>
      <w:r>
        <w:t>DB app-probe credential coverage (1444864) confirmed sufficient for the certified population</w:t>
      </w:r>
    </w:p>
    <w:p>
      <w:pPr>
        <w:spacing w:after="40"/>
        <w:ind w:left="360"/>
      </w:pPr>
      <w:r>
        <w:rPr>
          <w:color w:val="2E6DB4"/>
        </w:rPr>
        <w:t xml:space="preserve">☐  </w:t>
      </w:r>
      <w:r>
        <w:t>Any discovery-caused gaps documented and excluded from owner-attributable coverage in DB-4</w:t>
      </w:r>
    </w:p>
    <w:p>
      <w:r>
        <w:br w:type="page"/>
      </w:r>
    </w:p>
    <w:p>
      <w:pPr>
        <w:spacing w:before="0" w:after="80"/>
      </w:pPr>
      <w:r>
        <w:rPr>
          <w:b/>
          <w:color w:val="1F3A5F"/>
          <w:sz w:val="28"/>
        </w:rPr>
        <w:t>DEP-5 · Class Manager confirms attribute set + active-population scope</w:t>
      </w:r>
    </w:p>
    <w:tbl>
      <w:tblPr>
        <w:tblStyle w:val="LightGrid-Accent1"/>
        <w:tblW w:type="auto" w:w="0"/>
        <w:jc w:val="center"/>
        <w:tblLook w:firstColumn="1" w:firstRow="1" w:lastColumn="0" w:lastRow="0" w:noHBand="0" w:noVBand="1" w:val="04A0"/>
      </w:tblPr>
      <w:tblGrid>
        <w:gridCol w:w="4968"/>
        <w:gridCol w:w="4968"/>
      </w:tblGrid>
      <w:tr>
        <w:tc>
          <w:tcPr>
            <w:tcW w:type="dxa" w:w="4968"/>
          </w:tcPr>
          <w:p>
            <w:r>
              <w:rPr>
                <w:b/>
                <w:sz w:val="17"/>
              </w:rPr>
            </w:r>
            <w:r>
              <w:rPr>
                <w:b/>
                <w:sz w:val="17"/>
              </w:rPr>
              <w:t>Field</w:t>
            </w:r>
          </w:p>
        </w:tc>
        <w:tc>
          <w:tcPr>
            <w:tcW w:type="dxa" w:w="4968"/>
          </w:tcPr>
          <w:p>
            <w:r>
              <w:rPr>
                <w:b/>
                <w:sz w:val="17"/>
              </w:rPr>
            </w:r>
            <w:r>
              <w:rPr>
                <w:b/>
                <w:sz w:val="17"/>
              </w:rPr>
              <w:t>Value</w:t>
            </w:r>
          </w:p>
        </w:tc>
      </w:tr>
      <w:tr>
        <w:tc>
          <w:tcPr>
            <w:tcW w:type="dxa" w:w="4968"/>
          </w:tcPr>
          <w:p>
            <w:r>
              <w:rPr>
                <w:sz w:val="17"/>
              </w:rPr>
            </w:r>
            <w:r>
              <w:rPr>
                <w:sz w:val="17"/>
              </w:rPr>
              <w:t>Title</w:t>
            </w:r>
          </w:p>
        </w:tc>
        <w:tc>
          <w:tcPr>
            <w:tcW w:type="dxa" w:w="4968"/>
          </w:tcPr>
          <w:p>
            <w:r>
              <w:rPr>
                <w:sz w:val="17"/>
              </w:rPr>
            </w:r>
            <w:r>
              <w:rPr>
                <w:sz w:val="17"/>
              </w:rPr>
              <w:t>[Dependency] Ray Reuter sign-off — Database attribute set + active scope — Feature 1517037</w:t>
            </w:r>
          </w:p>
        </w:tc>
      </w:tr>
      <w:tr>
        <w:tc>
          <w:tcPr>
            <w:tcW w:type="dxa" w:w="4968"/>
          </w:tcPr>
          <w:p>
            <w:r>
              <w:rPr>
                <w:sz w:val="17"/>
              </w:rPr>
            </w:r>
            <w:r>
              <w:rPr>
                <w:sz w:val="17"/>
              </w:rPr>
              <w:t>Assigned To</w:t>
            </w:r>
          </w:p>
        </w:tc>
        <w:tc>
          <w:tcPr>
            <w:tcW w:type="dxa" w:w="4968"/>
          </w:tcPr>
          <w:p>
            <w:r>
              <w:rPr>
                <w:sz w:val="17"/>
              </w:rPr>
            </w:r>
            <w:r>
              <w:rPr>
                <w:sz w:val="17"/>
              </w:rPr>
              <w:t>Manuel Vazquez</w:t>
            </w:r>
          </w:p>
        </w:tc>
      </w:tr>
      <w:tr>
        <w:tc>
          <w:tcPr>
            <w:tcW w:type="dxa" w:w="4968"/>
          </w:tcPr>
          <w:p>
            <w:r>
              <w:rPr>
                <w:sz w:val="17"/>
              </w:rPr>
            </w:r>
            <w:r>
              <w:rPr>
                <w:sz w:val="17"/>
              </w:rPr>
              <w:t>Priority</w:t>
            </w:r>
          </w:p>
        </w:tc>
        <w:tc>
          <w:tcPr>
            <w:tcW w:type="dxa" w:w="4968"/>
          </w:tcPr>
          <w:p>
            <w:r>
              <w:rPr>
                <w:sz w:val="17"/>
              </w:rPr>
            </w:r>
            <w:r>
              <w:rPr>
                <w:sz w:val="17"/>
              </w:rPr>
              <w:t>2</w:t>
            </w:r>
          </w:p>
        </w:tc>
      </w:tr>
      <w:tr>
        <w:tc>
          <w:tcPr>
            <w:tcW w:type="dxa" w:w="4968"/>
          </w:tcPr>
          <w:p>
            <w:r>
              <w:rPr>
                <w:sz w:val="17"/>
              </w:rPr>
            </w:r>
            <w:r>
              <w:rPr>
                <w:sz w:val="17"/>
              </w:rPr>
              <w:t>State</w:t>
            </w:r>
          </w:p>
        </w:tc>
        <w:tc>
          <w:tcPr>
            <w:tcW w:type="dxa" w:w="4968"/>
          </w:tcPr>
          <w:p>
            <w:r>
              <w:rPr>
                <w:sz w:val="17"/>
              </w:rPr>
            </w:r>
            <w:r>
              <w:rPr>
                <w:sz w:val="17"/>
              </w:rPr>
              <w:t>Open</w:t>
            </w:r>
          </w:p>
        </w:tc>
      </w:tr>
      <w:tr>
        <w:tc>
          <w:tcPr>
            <w:tcW w:type="dxa" w:w="4968"/>
          </w:tcPr>
          <w:p>
            <w:r>
              <w:rPr>
                <w:sz w:val="17"/>
              </w:rPr>
            </w:r>
            <w:r>
              <w:rPr>
                <w:sz w:val="17"/>
              </w:rPr>
              <w:t>Due Date</w:t>
            </w:r>
          </w:p>
        </w:tc>
        <w:tc>
          <w:tcPr>
            <w:tcW w:type="dxa" w:w="4968"/>
          </w:tcPr>
          <w:p>
            <w:r>
              <w:rPr>
                <w:sz w:val="17"/>
              </w:rPr>
            </w:r>
            <w:r>
              <w:rPr>
                <w:sz w:val="17"/>
              </w:rPr>
              <w:t>2026-09-16</w:t>
            </w:r>
          </w:p>
        </w:tc>
      </w:tr>
    </w:tbl>
    <w:p>
      <w:pPr>
        <w:spacing w:after="40"/>
      </w:pPr>
    </w:p>
    <w:p>
      <w:pPr>
        <w:spacing w:after="60"/>
      </w:pPr>
      <w:r>
        <w:rPr>
          <w:b/>
        </w:rPr>
        <w:t>Problem:</w:t>
      </w:r>
      <w:r>
        <w:t xml:space="preserve"> DB-2's scoped population (≈3,113 active </w:t>
      </w:r>
      <w:r>
        <w:rPr>
          <w:rFonts w:ascii="Consolas" w:hAnsi="Consolas"/>
          <w:sz w:val="18"/>
        </w:rPr>
        <w:t>cmdb_ci_db_instance</w:t>
      </w:r>
      <w:r>
        <w:t>, Oracle + MS SQL children) and the attested attribute set must be ratified by the Database CCB Class Manager (Ray Reuter). Certifying the wrong population or engine scope invalidates the coverage %.</w:t>
      </w:r>
    </w:p>
    <w:p>
      <w:pPr>
        <w:spacing w:after="60"/>
      </w:pPr>
      <w:r>
        <w:rPr>
          <w:b/>
        </w:rPr>
        <w:t>Acceptance criteria:</w:t>
      </w:r>
    </w:p>
    <w:p>
      <w:pPr>
        <w:spacing w:after="40"/>
        <w:ind w:left="360"/>
      </w:pPr>
      <w:r>
        <w:rPr>
          <w:color w:val="2E6DB4"/>
        </w:rPr>
        <w:t xml:space="preserve">☐  </w:t>
      </w:r>
      <w:r>
        <w:t>Ray Reuter confirms the Database managed-attribute set (post-DEP-3 reconciliation) to be certified</w:t>
      </w:r>
    </w:p>
    <w:p>
      <w:pPr>
        <w:spacing w:after="40"/>
        <w:ind w:left="360"/>
      </w:pPr>
      <w:r>
        <w:rPr>
          <w:color w:val="2E6DB4"/>
        </w:rPr>
        <w:t xml:space="preserve">☐  </w:t>
      </w:r>
      <w:r>
        <w:t>Active-population definition (</w:t>
      </w:r>
      <w:r>
        <w:rPr>
          <w:rFonts w:ascii="Consolas" w:hAnsi="Consolas"/>
          <w:sz w:val="18"/>
        </w:rPr>
        <w:t>install_status</w:t>
      </w:r>
      <w:r>
        <w:t xml:space="preserve"> / </w:t>
      </w:r>
      <w:r>
        <w:rPr>
          <w:rFonts w:ascii="Consolas" w:hAnsi="Consolas"/>
          <w:sz w:val="18"/>
        </w:rPr>
        <w:t>operational_status</w:t>
      </w:r>
      <w:r>
        <w:t>) confirmed so the scored count reconciles to 3,113</w:t>
      </w:r>
    </w:p>
    <w:p>
      <w:pPr>
        <w:spacing w:after="40"/>
        <w:ind w:left="360"/>
      </w:pPr>
      <w:r>
        <w:rPr>
          <w:color w:val="2E6DB4"/>
        </w:rPr>
        <w:t xml:space="preserve">☐  </w:t>
      </w:r>
      <w:r>
        <w:t xml:space="preserve">Engine scope confirmed — which child classes (Oracle </w:t>
      </w:r>
      <w:r>
        <w:rPr>
          <w:rFonts w:ascii="Consolas" w:hAnsi="Consolas"/>
          <w:sz w:val="18"/>
        </w:rPr>
        <w:t>cmdb_ci_db_ora_instance</w:t>
      </w:r>
      <w:r>
        <w:t xml:space="preserve">, MS SQL </w:t>
      </w:r>
      <w:r>
        <w:rPr>
          <w:rFonts w:ascii="Consolas" w:hAnsi="Consolas"/>
          <w:sz w:val="18"/>
        </w:rPr>
        <w:t>cmdb_ci_db_mssql_instance</w:t>
      </w:r>
      <w:r>
        <w:t>) are in the first cycle</w:t>
      </w:r>
    </w:p>
    <w:p>
      <w:r>
        <w:br w:type="page"/>
      </w:r>
    </w:p>
    <w:p>
      <w:pPr>
        <w:spacing w:before="0" w:after="80"/>
      </w:pPr>
      <w:r>
        <w:rPr>
          <w:b/>
          <w:color w:val="1F3A5F"/>
          <w:sz w:val="28"/>
        </w:rPr>
        <w:t>DEP-6 · Coordinate with CMDB Health Completeness (Database) config — CP-3</w:t>
      </w:r>
    </w:p>
    <w:tbl>
      <w:tblPr>
        <w:tblStyle w:val="LightGrid-Accent1"/>
        <w:tblW w:type="auto" w:w="0"/>
        <w:jc w:val="center"/>
        <w:tblLook w:firstColumn="1" w:firstRow="1" w:lastColumn="0" w:lastRow="0" w:noHBand="0" w:noVBand="1" w:val="04A0"/>
      </w:tblPr>
      <w:tblGrid>
        <w:gridCol w:w="4968"/>
        <w:gridCol w:w="4968"/>
      </w:tblGrid>
      <w:tr>
        <w:tc>
          <w:tcPr>
            <w:tcW w:type="dxa" w:w="4968"/>
          </w:tcPr>
          <w:p>
            <w:r>
              <w:rPr>
                <w:b/>
                <w:sz w:val="17"/>
              </w:rPr>
            </w:r>
            <w:r>
              <w:rPr>
                <w:b/>
                <w:sz w:val="17"/>
              </w:rPr>
              <w:t>Field</w:t>
            </w:r>
          </w:p>
        </w:tc>
        <w:tc>
          <w:tcPr>
            <w:tcW w:type="dxa" w:w="4968"/>
          </w:tcPr>
          <w:p>
            <w:r>
              <w:rPr>
                <w:b/>
                <w:sz w:val="17"/>
              </w:rPr>
            </w:r>
            <w:r>
              <w:rPr>
                <w:b/>
                <w:sz w:val="17"/>
              </w:rPr>
              <w:t>Value</w:t>
            </w:r>
          </w:p>
        </w:tc>
      </w:tr>
      <w:tr>
        <w:tc>
          <w:tcPr>
            <w:tcW w:type="dxa" w:w="4968"/>
          </w:tcPr>
          <w:p>
            <w:r>
              <w:rPr>
                <w:sz w:val="17"/>
              </w:rPr>
            </w:r>
            <w:r>
              <w:rPr>
                <w:sz w:val="17"/>
              </w:rPr>
              <w:t>Title</w:t>
            </w:r>
          </w:p>
        </w:tc>
        <w:tc>
          <w:tcPr>
            <w:tcW w:type="dxa" w:w="4968"/>
          </w:tcPr>
          <w:p>
            <w:r>
              <w:rPr>
                <w:sz w:val="17"/>
              </w:rPr>
            </w:r>
            <w:r>
              <w:rPr>
                <w:sz w:val="17"/>
              </w:rPr>
              <w:t>[Dependency] Align cert dashboard with CMDB Health Completeness CP-3 — Feature 1517037</w:t>
            </w:r>
          </w:p>
        </w:tc>
      </w:tr>
      <w:tr>
        <w:tc>
          <w:tcPr>
            <w:tcW w:type="dxa" w:w="4968"/>
          </w:tcPr>
          <w:p>
            <w:r>
              <w:rPr>
                <w:sz w:val="17"/>
              </w:rPr>
            </w:r>
            <w:r>
              <w:rPr>
                <w:sz w:val="17"/>
              </w:rPr>
              <w:t>Assigned To</w:t>
            </w:r>
          </w:p>
        </w:tc>
        <w:tc>
          <w:tcPr>
            <w:tcW w:type="dxa" w:w="4968"/>
          </w:tcPr>
          <w:p>
            <w:r>
              <w:rPr>
                <w:sz w:val="17"/>
              </w:rPr>
            </w:r>
            <w:r>
              <w:rPr>
                <w:sz w:val="17"/>
              </w:rPr>
              <w:t>Manuel Vazquez</w:t>
            </w:r>
          </w:p>
        </w:tc>
      </w:tr>
      <w:tr>
        <w:tc>
          <w:tcPr>
            <w:tcW w:type="dxa" w:w="4968"/>
          </w:tcPr>
          <w:p>
            <w:r>
              <w:rPr>
                <w:sz w:val="17"/>
              </w:rPr>
            </w:r>
            <w:r>
              <w:rPr>
                <w:sz w:val="17"/>
              </w:rPr>
              <w:t>Priority</w:t>
            </w:r>
          </w:p>
        </w:tc>
        <w:tc>
          <w:tcPr>
            <w:tcW w:type="dxa" w:w="4968"/>
          </w:tcPr>
          <w:p>
            <w:r>
              <w:rPr>
                <w:sz w:val="17"/>
              </w:rPr>
            </w:r>
            <w:r>
              <w:rPr>
                <w:sz w:val="17"/>
              </w:rPr>
              <w:t>3</w:t>
            </w:r>
          </w:p>
        </w:tc>
      </w:tr>
      <w:tr>
        <w:tc>
          <w:tcPr>
            <w:tcW w:type="dxa" w:w="4968"/>
          </w:tcPr>
          <w:p>
            <w:r>
              <w:rPr>
                <w:sz w:val="17"/>
              </w:rPr>
            </w:r>
            <w:r>
              <w:rPr>
                <w:sz w:val="17"/>
              </w:rPr>
              <w:t>State</w:t>
            </w:r>
          </w:p>
        </w:tc>
        <w:tc>
          <w:tcPr>
            <w:tcW w:type="dxa" w:w="4968"/>
          </w:tcPr>
          <w:p>
            <w:r>
              <w:rPr>
                <w:sz w:val="17"/>
              </w:rPr>
            </w:r>
            <w:r>
              <w:rPr>
                <w:sz w:val="17"/>
              </w:rPr>
              <w:t xml:space="preserve">Open — CP-3 exists in ADO as </w:t>
            </w:r>
            <w:r>
              <w:rPr>
                <w:b/>
                <w:sz w:val="17"/>
              </w:rPr>
              <w:t>US 1520425</w:t>
            </w:r>
            <w:r>
              <w:rPr>
                <w:sz w:val="17"/>
              </w:rPr>
              <w:t xml:space="preserve"> (Validation)</w:t>
            </w:r>
          </w:p>
        </w:tc>
      </w:tr>
      <w:tr>
        <w:tc>
          <w:tcPr>
            <w:tcW w:type="dxa" w:w="4968"/>
          </w:tcPr>
          <w:p>
            <w:r>
              <w:rPr>
                <w:sz w:val="17"/>
              </w:rPr>
            </w:r>
            <w:r>
              <w:rPr>
                <w:sz w:val="17"/>
              </w:rPr>
              <w:t>Due Date</w:t>
            </w:r>
          </w:p>
        </w:tc>
        <w:tc>
          <w:tcPr>
            <w:tcW w:type="dxa" w:w="4968"/>
          </w:tcPr>
          <w:p>
            <w:r>
              <w:rPr>
                <w:sz w:val="17"/>
              </w:rPr>
            </w:r>
            <w:r>
              <w:rPr>
                <w:sz w:val="17"/>
              </w:rPr>
              <w:t>2026-09-16</w:t>
            </w:r>
          </w:p>
        </w:tc>
      </w:tr>
    </w:tbl>
    <w:p>
      <w:pPr>
        <w:spacing w:after="40"/>
      </w:pPr>
    </w:p>
    <w:p>
      <w:pPr>
        <w:spacing w:after="60"/>
      </w:pPr>
      <w:r>
        <w:rPr>
          <w:b/>
        </w:rPr>
        <w:t>Problem:</w:t>
      </w:r>
      <w:r>
        <w:t xml:space="preserve"> The CMDB Health </w:t>
      </w:r>
      <w:r>
        <w:rPr>
          <w:b/>
        </w:rPr>
        <w:t>Completeness (Database)</w:t>
      </w:r>
      <w:r>
        <w:t xml:space="preserve"> KPI (CP-3 = ADO </w:t>
      </w:r>
      <w:r>
        <w:rPr>
          <w:b/>
        </w:rPr>
        <w:t>1520425</w:t>
      </w:r>
      <w:r>
        <w:t xml:space="preserve">, parent "Governance Validation &amp; Acceptance") scores the same Database attribute population that DB-3's certification dashboard reports on — and CP-3 carries the *same* blocking attribute-set mismatch (DEP-3). Related population story </w:t>
      </w:r>
      <w:r>
        <w:rPr>
          <w:b/>
        </w:rPr>
        <w:t>1504309</w:t>
      </w:r>
      <w:r>
        <w:t xml:space="preserve"> (Populate Environment Attribute) feeds the same gap. Building the two independently risks overlapping/contradictory scoring.</w:t>
      </w:r>
    </w:p>
    <w:p>
      <w:pPr>
        <w:spacing w:after="60"/>
      </w:pPr>
      <w:r>
        <w:rPr>
          <w:b/>
        </w:rPr>
        <w:t>Acceptance criteria:</w:t>
      </w:r>
    </w:p>
    <w:p>
      <w:pPr>
        <w:spacing w:after="40"/>
        <w:ind w:left="360"/>
      </w:pPr>
      <w:r>
        <w:rPr>
          <w:color w:val="2E6DB4"/>
        </w:rPr>
        <w:t xml:space="preserve">☐  </w:t>
      </w:r>
      <w:r>
        <w:t>DB-3 and CP-3 use the single reconciled attribute set from DEP-3</w:t>
      </w:r>
    </w:p>
    <w:p>
      <w:pPr>
        <w:spacing w:after="40"/>
        <w:ind w:left="360"/>
      </w:pPr>
      <w:r>
        <w:rPr>
          <w:color w:val="2E6DB4"/>
        </w:rPr>
        <w:t xml:space="preserve">☐  </w:t>
      </w:r>
      <w:r>
        <w:t>Agreement on which artifact is authoritative for "attribute populated" vs "owner attested"</w:t>
      </w:r>
    </w:p>
    <w:p>
      <w:pPr>
        <w:spacing w:after="40"/>
        <w:ind w:left="360"/>
      </w:pPr>
      <w:r>
        <w:rPr>
          <w:color w:val="2E6DB4"/>
        </w:rPr>
        <w:t xml:space="preserve">☐  </w:t>
      </w:r>
      <w:r>
        <w:t>No double-counting of the same Database gap; coordination decision recorded (ADO comment) and reflected in DB-3 acceptance</w:t>
      </w:r>
    </w:p>
    <w:p>
      <w:pPr>
        <w:spacing w:before="160" w:after="80"/>
      </w:pPr>
      <w:r>
        <w:rPr>
          <w:b/>
          <w:color w:val="2E6DB4"/>
          <w:sz w:val="26"/>
        </w:rPr>
        <w:t>Sequence summary</w:t>
      </w:r>
    </w:p>
    <w:p>
      <w:pPr>
        <w:spacing w:before="60" w:after="60"/>
        <w:ind w:left="288"/>
      </w:pPr>
      <w:r>
        <w:rPr>
          <w:rFonts w:ascii="Consolas" w:hAnsi="Consolas"/>
          <w:color w:val="1F3A5F"/>
          <w:sz w:val="17"/>
        </w:rPr>
        <w:t>DEP-1 (1480113 gap plan) ─┐</w:t>
        <w:br/>
        <w:t>DEP-3 (attr reconcile) ───┤</w:t>
        <w:br/>
        <w:t>DEP-5 (Ray — attr + scope)┼─► DB-1 (process flow, 3.3)</w:t>
        <w:br/>
        <w:t>DEP-2 (Data Dictionary) ──┘        │</w:t>
        <w:br/>
        <w:t xml:space="preserve">                                   ├─► DB-2 (PROD build, 3.4) ◄── DEP-4 (data quality)</w:t>
        <w:br/>
        <w:t xml:space="preserve">                                   │        │</w:t>
        <w:br/>
        <w:t xml:space="preserve">                                   │        ├─► DB-3 (dashboard, 3.4) ◄── DEP-6 (CP-3 align)</w:t>
        <w:br/>
        <w:t xml:space="preserve">                                   │        │        │</w:t>
        <w:br/>
        <w:t xml:space="preserve">                                   │        └────────┼─► DB-4 (run cycle + monitor, 3.5) ◄── DEP-4</w:t>
        <w:br/>
        <w:t xml:space="preserve">                                   │                 │</w:t>
        <w:br/>
        <w:t xml:space="preserve">                                   │                 └─► DB-5 (training, 3.5 → 3.6 IP)</w:t>
      </w:r>
    </w:p>
    <w:p>
      <w:pPr>
        <w:spacing w:after="60"/>
      </w:pPr>
      <w:r>
        <w:rPr>
          <w:b/>
        </w:rPr>
        <w:t>Gate:</w:t>
      </w:r>
      <w:r>
        <w:t xml:space="preserve"> CO6 Oct 30 falls after PI-3 ends (Oct 27). Build done by </w:t>
      </w:r>
      <w:r>
        <w:rPr>
          <w:b/>
        </w:rPr>
        <w:t>end of Sprint 3.5 (Oct 13)</w:t>
      </w:r>
      <w:r>
        <w:t xml:space="preserve">; training/validation completes in </w:t>
      </w:r>
      <w:r>
        <w:rPr>
          <w:b/>
        </w:rPr>
        <w:t>3.6 IP (Oct 14–27)</w:t>
      </w:r>
      <w:r>
        <w:t>.</w:t>
      </w:r>
    </w:p>
    <w:p>
      <w:pPr>
        <w:spacing w:after="60"/>
      </w:pPr>
      <w:r>
        <w:rPr>
          <w:b/>
        </w:rPr>
        <w:t>Critical path:</w:t>
      </w:r>
      <w:r>
        <w:t xml:space="preserve"> DEP-3 (attribute reconciliation) is blocking and gates DB-1/DB-2; DEP-4 (Oracle-KY data quality) gates meaningful acceptance in DB-4. Raise both, plus DEP-1/DEP-2 (carryover), at PI Planning.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