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3A5F"/>
          <w:sz w:val="40"/>
        </w:rPr>
        <w:t>PI-2 Status Update — CO5 Alignment &amp; Deliverable Health</w:t>
      </w:r>
    </w:p>
    <w:p>
      <w:r>
        <w:rPr>
          <w:rFonts w:ascii="Calibri" w:hAnsi="Calibri"/>
          <w:b/>
          <w:i w:val="0"/>
          <w:color w:val="6B7280"/>
          <w:sz w:val="21"/>
        </w:rPr>
        <w:t>To:</w:t>
      </w:r>
      <w:r>
        <w:rPr>
          <w:rFonts w:ascii="Calibri" w:hAnsi="Calibri"/>
          <w:b w:val="0"/>
          <w:i w:val="0"/>
          <w:color w:val="6B7280"/>
          <w:sz w:val="21"/>
        </w:rPr>
        <w:t xml:space="preserve"> CMDB-CSDM Leadership    </w:t>
      </w:r>
      <w:r>
        <w:rPr>
          <w:rFonts w:ascii="Calibri" w:hAnsi="Calibri"/>
          <w:b/>
          <w:i w:val="0"/>
          <w:color w:val="6B7280"/>
          <w:sz w:val="21"/>
        </w:rPr>
        <w:t>From:</w:t>
      </w:r>
      <w:r>
        <w:rPr>
          <w:rFonts w:ascii="Calibri" w:hAnsi="Calibri"/>
          <w:b w:val="0"/>
          <w:i w:val="0"/>
          <w:color w:val="6B7280"/>
          <w:sz w:val="21"/>
        </w:rPr>
        <w:t xml:space="preserve"> Manuel Vazquez (SM / PO Support)</w:t>
      </w:r>
    </w:p>
    <w:p>
      <w:r>
        <w:rPr>
          <w:rFonts w:ascii="Calibri" w:hAnsi="Calibri"/>
          <w:b/>
          <w:i w:val="0"/>
          <w:color w:val="6B7280"/>
          <w:sz w:val="21"/>
        </w:rPr>
        <w:t>As of:</w:t>
      </w:r>
      <w:r>
        <w:rPr>
          <w:rFonts w:ascii="Calibri" w:hAnsi="Calibri"/>
          <w:b w:val="0"/>
          <w:i w:val="0"/>
          <w:color w:val="6B7280"/>
          <w:sz w:val="21"/>
        </w:rPr>
        <w:t xml:space="preserve"> Jun 23, 2026 — Iteration 2.3 close · ADO pull 6/23</w:t>
      </w:r>
    </w:p>
    <w:p>
      <w:pPr>
        <w:spacing w:before="280" w:after="120"/>
      </w:pPr>
      <w:r>
        <w:rPr>
          <w:rFonts w:ascii="Calibri" w:hAnsi="Calibri"/>
          <w:b/>
          <w:color w:val="1F3A5F"/>
          <w:sz w:val="30"/>
        </w:rPr>
        <w:t>Bottom Line</w:t>
      </w:r>
    </w:p>
    <w:p>
      <w:pPr>
        <w:pStyle w:val="ListBullet"/>
        <w:spacing w:after="80"/>
      </w:pPr>
      <w:r>
        <w:rPr>
          <w:rFonts w:ascii="Calibri" w:hAnsi="Calibri"/>
          <w:b/>
          <w:i w:val="0"/>
          <w:color w:val="2D2D2D"/>
          <w:sz w:val="22"/>
        </w:rPr>
        <w:t>About a third of the delivery effort we've spent through Sprint 2.3 went to work that isn't in CO5.</w:t>
      </w:r>
      <w:r>
        <w:rPr>
          <w:rFonts w:ascii="Calibri" w:hAnsi="Calibri"/>
          <w:b w:val="0"/>
          <w:i w:val="0"/>
          <w:color w:val="2D2D2D"/>
          <w:sz w:val="22"/>
        </w:rPr>
        <w:t xml:space="preserve"> That holds up whichever way I measure it: ~</w:t>
      </w:r>
      <w:r>
        <w:rPr>
          <w:rFonts w:ascii="Calibri" w:hAnsi="Calibri"/>
          <w:b/>
          <w:i w:val="0"/>
          <w:color w:val="2D2D2D"/>
          <w:sz w:val="22"/>
        </w:rPr>
        <w:t>30% by story/spike count</w:t>
      </w:r>
      <w:r>
        <w:rPr>
          <w:rFonts w:ascii="Calibri" w:hAnsi="Calibri"/>
          <w:b w:val="0"/>
          <w:i w:val="0"/>
          <w:color w:val="2D2D2D"/>
          <w:sz w:val="22"/>
        </w:rPr>
        <w:t>, ~</w:t>
      </w:r>
      <w:r>
        <w:rPr>
          <w:rFonts w:ascii="Calibri" w:hAnsi="Calibri"/>
          <w:b/>
          <w:i w:val="0"/>
          <w:color w:val="2D2D2D"/>
          <w:sz w:val="22"/>
        </w:rPr>
        <w:t>33% by points</w:t>
      </w:r>
      <w:r>
        <w:rPr>
          <w:rFonts w:ascii="Calibri" w:hAnsi="Calibri"/>
          <w:b w:val="0"/>
          <w:i w:val="0"/>
          <w:color w:val="2D2D2D"/>
          <w:sz w:val="22"/>
        </w:rPr>
        <w:t>. Airlift by itself is two people for the whole sprint on work that needs a change order.</w:t>
      </w:r>
    </w:p>
    <w:p>
      <w:pPr>
        <w:pStyle w:val="ListBullet"/>
        <w:spacing w:after="80"/>
      </w:pPr>
      <w:r>
        <w:rPr>
          <w:rFonts w:ascii="Calibri" w:hAnsi="Calibri"/>
          <w:b/>
          <w:i w:val="0"/>
          <w:color w:val="2D2D2D"/>
          <w:sz w:val="22"/>
        </w:rPr>
        <w:t>Point tracking this PI is uneven</w:t>
      </w:r>
      <w:r>
        <w:rPr>
          <w:rFonts w:ascii="Calibri" w:hAnsi="Calibri"/>
          <w:b w:val="0"/>
          <w:i w:val="0"/>
          <w:color w:val="2D2D2D"/>
          <w:sz w:val="22"/>
        </w:rPr>
        <w:t xml:space="preserve"> — only ~74% of user stories are pointed, and the tasks that make up most of Service Mapping aren't pointed at all. So I'm leading with a count of stories and spikes and using points only as a cross-check. The headline doesn't rest on the points either way.</w:t>
      </w:r>
    </w:p>
    <w:p>
      <w:pPr>
        <w:pStyle w:val="ListBullet"/>
        <w:spacing w:after="80"/>
      </w:pPr>
      <w:r>
        <w:rPr>
          <w:rFonts w:ascii="Calibri" w:hAnsi="Calibri"/>
          <w:b/>
          <w:i w:val="0"/>
          <w:color w:val="2D2D2D"/>
          <w:sz w:val="22"/>
        </w:rPr>
        <w:t>All three CO5 deliverables are due June 30, a week out.</w:t>
      </w:r>
      <w:r>
        <w:rPr>
          <w:rFonts w:ascii="Calibri" w:hAnsi="Calibri"/>
          <w:b w:val="0"/>
          <w:i w:val="0"/>
          <w:color w:val="2D2D2D"/>
          <w:sz w:val="22"/>
        </w:rPr>
        <w:t xml:space="preserve"> Four hard gaps are still open, and the </w:t>
      </w:r>
      <w:r>
        <w:rPr>
          <w:rFonts w:ascii="Calibri" w:hAnsi="Calibri"/>
          <w:b/>
          <w:i w:val="0"/>
          <w:color w:val="2D2D2D"/>
          <w:sz w:val="22"/>
        </w:rPr>
        <w:t>$533,775 holdback</w:t>
      </w:r>
      <w:r>
        <w:rPr>
          <w:rFonts w:ascii="Calibri" w:hAnsi="Calibri"/>
          <w:b w:val="0"/>
          <w:i w:val="0"/>
          <w:color w:val="2D2D2D"/>
          <w:sz w:val="22"/>
        </w:rPr>
        <w:t xml:space="preserve"> depends on accepting them.</w:t>
      </w:r>
    </w:p>
    <w:p>
      <w:pPr>
        <w:pStyle w:val="ListBullet"/>
        <w:spacing w:after="80"/>
      </w:pPr>
      <w:r>
        <w:rPr>
          <w:rFonts w:ascii="Calibri" w:hAnsi="Calibri"/>
          <w:b w:val="0"/>
          <w:i w:val="0"/>
          <w:color w:val="2D2D2D"/>
          <w:sz w:val="22"/>
        </w:rPr>
        <w:t xml:space="preserve">The added work, Airlift and NowAssist, has been absorbed into the team's capacity </w:t>
      </w:r>
      <w:r>
        <w:rPr>
          <w:rFonts w:ascii="Calibri" w:hAnsi="Calibri"/>
          <w:b/>
          <w:i w:val="0"/>
          <w:color w:val="2D2D2D"/>
          <w:sz w:val="22"/>
        </w:rPr>
        <w:t>with no change order</w:t>
      </w:r>
      <w:r>
        <w:rPr>
          <w:rFonts w:ascii="Calibri" w:hAnsi="Calibri"/>
          <w:b w:val="0"/>
          <w:i w:val="0"/>
          <w:color w:val="2D2D2D"/>
          <w:sz w:val="22"/>
        </w:rPr>
        <w:t>. CO5 Article 2 says scope changes have to be in writing.</w:t>
      </w:r>
    </w:p>
    <w:p>
      <w:pPr>
        <w:spacing w:before="280" w:after="120"/>
      </w:pPr>
      <w:r>
        <w:rPr>
          <w:rFonts w:ascii="Calibri" w:hAnsi="Calibri"/>
          <w:b/>
          <w:color w:val="1F3A5F"/>
          <w:sz w:val="30"/>
        </w:rPr>
        <w:t>1. PI-2 effort out of scope for CO5 — through Sprint 2.3</w:t>
      </w:r>
    </w:p>
    <w:p>
      <w:pPr>
        <w:spacing w:after="160"/>
        <w:ind w:left="173"/>
      </w:pPr>
      <w:r>
        <w:rPr>
          <w:rFonts w:ascii="Calibri" w:hAnsi="Calibri"/>
          <w:b w:val="0"/>
          <w:i/>
          <w:color w:val="334455"/>
          <w:sz w:val="21"/>
        </w:rPr>
        <w:t>Why I'm counting items, not just points: point tracking this PI is uneven. Only 29 of 39 user stories (74%) carry points, and tasks — the biggest category of work, and nearly all of Service Mapping — don't carry points at all by design. Measure by points alone and you miss most of what the team actually worked. So the main view below counts stories and spikes; points are there to back it up. This is Iterations 2.1–2.3 only, since 2.4–2.6 haven't run yet.</w:t>
      </w:r>
    </w:p>
    <w:p>
      <w:pPr>
        <w:spacing w:after="120"/>
      </w:pPr>
      <w:r>
        <w:rPr>
          <w:rFonts w:ascii="Calibri" w:hAnsi="Calibri"/>
          <w:b/>
          <w:i w:val="0"/>
          <w:color w:val="2D2D2D"/>
          <w:sz w:val="22"/>
        </w:rPr>
        <w:t>Both ways of counting land in the same place: about 30–33% out of scope.</w:t>
      </w:r>
    </w:p>
    <w:tbl>
      <w:tblPr>
        <w:tblStyle w:val="TableGrid"/>
        <w:tblW w:type="auto" w:w="0"/>
        <w:tblLayout w:type="fixed"/>
        <w:tblLook w:firstColumn="1" w:firstRow="1" w:lastColumn="0" w:lastRow="0" w:noHBand="0" w:noVBand="1" w:val="04A0"/>
      </w:tblPr>
      <w:tblGrid>
        <w:gridCol w:w="5184"/>
        <w:gridCol w:w="5040"/>
      </w:tblGrid>
      <w:tr>
        <w:tc>
          <w:tcPr>
            <w:tcW w:type="dxa" w:w="5184"/>
            <w:shd w:val="clear" w:color="auto" w:fill="1F3A5F"/>
            <w:vAlign w:val="center"/>
          </w:tcPr>
          <w:p>
            <w:pPr>
              <w:jc w:val="left"/>
            </w:pPr>
            <w:r>
              <w:rPr>
                <w:rFonts w:ascii="Calibri" w:hAnsi="Calibri"/>
                <w:b/>
                <w:i w:val="0"/>
                <w:color w:val="FFFFFF"/>
                <w:sz w:val="20"/>
              </w:rPr>
              <w:t>Measure (through Sprint 2.3)</w:t>
            </w:r>
          </w:p>
        </w:tc>
        <w:tc>
          <w:tcPr>
            <w:tcW w:type="dxa" w:w="5040"/>
            <w:shd w:val="clear" w:color="auto" w:fill="1F3A5F"/>
            <w:vAlign w:val="center"/>
          </w:tcPr>
          <w:p>
            <w:pPr>
              <w:jc w:val="left"/>
            </w:pPr>
            <w:r>
              <w:rPr>
                <w:rFonts w:ascii="Calibri" w:hAnsi="Calibri"/>
                <w:b/>
                <w:i w:val="0"/>
                <w:color w:val="FFFFFF"/>
                <w:sz w:val="20"/>
              </w:rPr>
              <w:t>Out of scope for CO5</w:t>
            </w:r>
          </w:p>
        </w:tc>
      </w:tr>
      <w:tr>
        <w:tc>
          <w:tcPr>
            <w:tcW w:type="dxa" w:w="5184"/>
            <w:vAlign w:val="center"/>
          </w:tcPr>
          <w:p>
            <w:pPr>
              <w:jc w:val="left"/>
            </w:pPr>
            <w:r>
              <w:rPr>
                <w:rFonts w:ascii="Calibri" w:hAnsi="Calibri"/>
                <w:b w:val="0"/>
                <w:i w:val="0"/>
                <w:color w:val="2D2D2D"/>
                <w:sz w:val="20"/>
              </w:rPr>
              <w:t>By story / spike count</w:t>
            </w:r>
          </w:p>
        </w:tc>
        <w:tc>
          <w:tcPr>
            <w:tcW w:type="dxa" w:w="5040"/>
            <w:vAlign w:val="center"/>
          </w:tcPr>
          <w:p>
            <w:pPr>
              <w:jc w:val="left"/>
            </w:pPr>
            <w:r>
              <w:rPr>
                <w:rFonts w:ascii="Calibri" w:hAnsi="Calibri"/>
                <w:b w:val="0"/>
                <w:i w:val="0"/>
                <w:color w:val="2D2D2D"/>
                <w:sz w:val="20"/>
              </w:rPr>
              <w:t xml:space="preserve">~15 of ~51 ≈ </w:t>
            </w:r>
            <w:r>
              <w:rPr>
                <w:rFonts w:ascii="Calibri" w:hAnsi="Calibri"/>
                <w:b/>
                <w:i w:val="0"/>
                <w:color w:val="2D2D2D"/>
                <w:sz w:val="20"/>
              </w:rPr>
              <w:t>30%</w:t>
            </w:r>
          </w:p>
        </w:tc>
      </w:tr>
      <w:tr>
        <w:tc>
          <w:tcPr>
            <w:tcW w:type="dxa" w:w="5184"/>
            <w:vAlign w:val="center"/>
            <w:shd w:val="clear" w:color="auto" w:fill="F4F6F9"/>
          </w:tcPr>
          <w:p>
            <w:pPr>
              <w:jc w:val="left"/>
            </w:pPr>
            <w:r>
              <w:rPr>
                <w:rFonts w:ascii="Calibri" w:hAnsi="Calibri"/>
                <w:b w:val="0"/>
                <w:i w:val="0"/>
                <w:color w:val="2D2D2D"/>
                <w:sz w:val="20"/>
              </w:rPr>
              <w:t>By story points</w:t>
            </w:r>
          </w:p>
        </w:tc>
        <w:tc>
          <w:tcPr>
            <w:tcW w:type="dxa" w:w="5040"/>
            <w:vAlign w:val="center"/>
            <w:shd w:val="clear" w:color="auto" w:fill="F4F6F9"/>
          </w:tcPr>
          <w:p>
            <w:pPr>
              <w:jc w:val="left"/>
            </w:pPr>
            <w:r>
              <w:rPr>
                <w:rFonts w:ascii="Calibri" w:hAnsi="Calibri"/>
                <w:b w:val="0"/>
                <w:i w:val="0"/>
                <w:color w:val="2D2D2D"/>
                <w:sz w:val="20"/>
              </w:rPr>
              <w:t xml:space="preserve">24 of 72 ≈ </w:t>
            </w:r>
            <w:r>
              <w:rPr>
                <w:rFonts w:ascii="Calibri" w:hAnsi="Calibri"/>
                <w:b/>
                <w:i w:val="0"/>
                <w:color w:val="2D2D2D"/>
                <w:sz w:val="20"/>
              </w:rPr>
              <w:t>33%</w:t>
            </w:r>
          </w:p>
        </w:tc>
      </w:tr>
    </w:tbl>
    <w:p>
      <w:pPr>
        <w:spacing w:before="240" w:after="120"/>
      </w:pPr>
      <w:r>
        <w:rPr>
          <w:rFonts w:ascii="Calibri" w:hAnsi="Calibri"/>
          <w:b/>
          <w:color w:val="1F3A5F"/>
          <w:sz w:val="24"/>
        </w:rPr>
        <w:t>Primary view — by story / spike count</w:t>
      </w:r>
    </w:p>
    <w:tbl>
      <w:tblPr>
        <w:tblStyle w:val="TableGrid"/>
        <w:tblW w:type="auto" w:w="0"/>
        <w:tblLayout w:type="fixed"/>
        <w:tblLook w:firstColumn="1" w:firstRow="1" w:lastColumn="0" w:lastRow="0" w:noHBand="0" w:noVBand="1" w:val="04A0"/>
      </w:tblPr>
      <w:tblGrid>
        <w:gridCol w:w="6192"/>
        <w:gridCol w:w="2160"/>
        <w:gridCol w:w="1872"/>
      </w:tblGrid>
      <w:tr>
        <w:tc>
          <w:tcPr>
            <w:tcW w:type="dxa" w:w="6192"/>
            <w:shd w:val="clear" w:color="auto" w:fill="1F3A5F"/>
            <w:vAlign w:val="center"/>
          </w:tcPr>
          <w:p>
            <w:pPr>
              <w:jc w:val="left"/>
            </w:pPr>
            <w:r>
              <w:rPr>
                <w:rFonts w:ascii="Calibri" w:hAnsi="Calibri"/>
                <w:b/>
                <w:i w:val="0"/>
                <w:color w:val="FFFFFF"/>
                <w:sz w:val="20"/>
              </w:rPr>
              <w:t>Category</w:t>
            </w:r>
          </w:p>
        </w:tc>
        <w:tc>
          <w:tcPr>
            <w:tcW w:type="dxa" w:w="2160"/>
            <w:shd w:val="clear" w:color="auto" w:fill="1F3A5F"/>
            <w:vAlign w:val="center"/>
          </w:tcPr>
          <w:p>
            <w:pPr>
              <w:jc w:val="left"/>
            </w:pPr>
            <w:r>
              <w:rPr>
                <w:rFonts w:ascii="Calibri" w:hAnsi="Calibri"/>
                <w:b/>
                <w:i w:val="0"/>
                <w:color w:val="FFFFFF"/>
                <w:sz w:val="20"/>
              </w:rPr>
              <w:t>Stories + Spikes</w:t>
            </w:r>
          </w:p>
        </w:tc>
        <w:tc>
          <w:tcPr>
            <w:tcW w:type="dxa" w:w="1872"/>
            <w:shd w:val="clear" w:color="auto" w:fill="1F3A5F"/>
            <w:vAlign w:val="center"/>
          </w:tcPr>
          <w:p>
            <w:pPr>
              <w:jc w:val="left"/>
            </w:pPr>
            <w:r>
              <w:rPr>
                <w:rFonts w:ascii="Calibri" w:hAnsi="Calibri"/>
                <w:b/>
                <w:i w:val="0"/>
                <w:color w:val="FFFFFF"/>
                <w:sz w:val="20"/>
              </w:rPr>
              <w:t>Share</w:t>
            </w:r>
          </w:p>
        </w:tc>
      </w:tr>
      <w:tr>
        <w:tc>
          <w:tcPr>
            <w:tcW w:type="dxa" w:w="6192"/>
            <w:vAlign w:val="center"/>
          </w:tcPr>
          <w:p>
            <w:pPr>
              <w:jc w:val="left"/>
            </w:pPr>
            <w:r>
              <w:rPr>
                <w:rFonts w:ascii="Calibri" w:hAnsi="Calibri"/>
                <w:b w:val="0"/>
                <w:i w:val="0"/>
                <w:color w:val="2D2D2D"/>
                <w:sz w:val="20"/>
              </w:rPr>
              <w:t>In-scope — CO5 deliverables (18 stories + 6 spikes)</w:t>
            </w:r>
          </w:p>
        </w:tc>
        <w:tc>
          <w:tcPr>
            <w:tcW w:type="dxa" w:w="2160"/>
            <w:vAlign w:val="center"/>
          </w:tcPr>
          <w:p>
            <w:pPr>
              <w:jc w:val="center"/>
            </w:pPr>
            <w:r>
              <w:rPr>
                <w:rFonts w:ascii="Calibri" w:hAnsi="Calibri"/>
                <w:b w:val="0"/>
                <w:i w:val="0"/>
                <w:color w:val="2D2D2D"/>
                <w:sz w:val="20"/>
              </w:rPr>
              <w:t>24</w:t>
            </w:r>
          </w:p>
        </w:tc>
        <w:tc>
          <w:tcPr>
            <w:tcW w:type="dxa" w:w="1872"/>
            <w:vAlign w:val="center"/>
          </w:tcPr>
          <w:p>
            <w:pPr>
              <w:jc w:val="center"/>
            </w:pPr>
          </w:p>
        </w:tc>
      </w:tr>
      <w:tr>
        <w:tc>
          <w:tcPr>
            <w:tcW w:type="dxa" w:w="6192"/>
            <w:vAlign w:val="center"/>
            <w:shd w:val="clear" w:color="auto" w:fill="F4F6F9"/>
          </w:tcPr>
          <w:p>
            <w:pPr>
              <w:jc w:val="left"/>
            </w:pPr>
            <w:r>
              <w:rPr>
                <w:rFonts w:ascii="Calibri" w:hAnsi="Calibri"/>
                <w:b w:val="0"/>
                <w:i w:val="0"/>
                <w:color w:val="2D2D2D"/>
                <w:sz w:val="20"/>
              </w:rPr>
              <w:t>In-scope — Service Mapping (8 + 1)</w:t>
            </w:r>
          </w:p>
        </w:tc>
        <w:tc>
          <w:tcPr>
            <w:tcW w:type="dxa" w:w="2160"/>
            <w:vAlign w:val="center"/>
            <w:shd w:val="clear" w:color="auto" w:fill="F4F6F9"/>
          </w:tcPr>
          <w:p>
            <w:pPr>
              <w:jc w:val="center"/>
            </w:pPr>
            <w:r>
              <w:rPr>
                <w:rFonts w:ascii="Calibri" w:hAnsi="Calibri"/>
                <w:b w:val="0"/>
                <w:i w:val="0"/>
                <w:color w:val="2D2D2D"/>
                <w:sz w:val="20"/>
              </w:rPr>
              <w:t>9</w:t>
            </w:r>
          </w:p>
        </w:tc>
        <w:tc>
          <w:tcPr>
            <w:tcW w:type="dxa" w:w="1872"/>
            <w:vAlign w:val="center"/>
            <w:shd w:val="clear" w:color="auto" w:fill="F4F6F9"/>
          </w:tcPr>
          <w:p>
            <w:pPr>
              <w:jc w:val="center"/>
            </w:pPr>
          </w:p>
        </w:tc>
      </w:tr>
      <w:tr>
        <w:tc>
          <w:tcPr>
            <w:tcW w:type="dxa" w:w="6192"/>
            <w:vAlign w:val="center"/>
          </w:tcPr>
          <w:p>
            <w:pPr>
              <w:jc w:val="left"/>
            </w:pPr>
            <w:r>
              <w:rPr>
                <w:rFonts w:ascii="Calibri" w:hAnsi="Calibri"/>
                <w:b/>
                <w:i w:val="0"/>
                <w:color w:val="2D2D2D"/>
                <w:sz w:val="20"/>
              </w:rPr>
              <w:t>In-scope subtotal</w:t>
            </w:r>
          </w:p>
        </w:tc>
        <w:tc>
          <w:tcPr>
            <w:tcW w:type="dxa" w:w="2160"/>
            <w:vAlign w:val="center"/>
          </w:tcPr>
          <w:p>
            <w:pPr>
              <w:jc w:val="center"/>
            </w:pPr>
            <w:r>
              <w:rPr>
                <w:rFonts w:ascii="Calibri" w:hAnsi="Calibri"/>
                <w:b/>
                <w:i w:val="0"/>
                <w:color w:val="2D2D2D"/>
                <w:sz w:val="20"/>
              </w:rPr>
              <w:t>33</w:t>
            </w:r>
          </w:p>
        </w:tc>
        <w:tc>
          <w:tcPr>
            <w:tcW w:type="dxa" w:w="1872"/>
            <w:vAlign w:val="center"/>
          </w:tcPr>
          <w:p>
            <w:pPr>
              <w:jc w:val="center"/>
            </w:pPr>
            <w:r>
              <w:rPr>
                <w:rFonts w:ascii="Calibri" w:hAnsi="Calibri"/>
                <w:b/>
                <w:i w:val="0"/>
                <w:color w:val="2D2D2D"/>
                <w:sz w:val="20"/>
              </w:rPr>
              <w:t>~65%</w:t>
            </w:r>
          </w:p>
        </w:tc>
      </w:tr>
      <w:tr>
        <w:tc>
          <w:tcPr>
            <w:tcW w:type="dxa" w:w="6192"/>
            <w:vAlign w:val="center"/>
            <w:shd w:val="clear" w:color="auto" w:fill="F4F6F9"/>
          </w:tcPr>
          <w:p>
            <w:pPr>
              <w:jc w:val="left"/>
            </w:pPr>
            <w:r>
              <w:rPr>
                <w:rFonts w:ascii="Calibri" w:hAnsi="Calibri"/>
                <w:b w:val="0"/>
                <w:i w:val="0"/>
                <w:color w:val="2D2D2D"/>
                <w:sz w:val="20"/>
              </w:rPr>
              <w:t xml:space="preserve">Out — </w:t>
            </w:r>
            <w:r>
              <w:rPr>
                <w:rFonts w:ascii="Calibri" w:hAnsi="Calibri"/>
                <w:b/>
                <w:i w:val="0"/>
                <w:color w:val="2D2D2D"/>
                <w:sz w:val="20"/>
              </w:rPr>
              <w:t>Airlift</w:t>
            </w:r>
            <w:r>
              <w:rPr>
                <w:rFonts w:ascii="Calibri" w:hAnsi="Calibri"/>
                <w:b w:val="0"/>
                <w:i w:val="0"/>
                <w:color w:val="2D2D2D"/>
                <w:sz w:val="20"/>
              </w:rPr>
              <w:t xml:space="preserve"> (4)¹ · </w:t>
            </w:r>
            <w:r>
              <w:rPr>
                <w:rFonts w:ascii="Calibri" w:hAnsi="Calibri"/>
                <w:b/>
                <w:i w:val="0"/>
                <w:color w:val="2D2D2D"/>
                <w:sz w:val="20"/>
              </w:rPr>
              <w:t>NowAssist</w:t>
            </w:r>
            <w:r>
              <w:rPr>
                <w:rFonts w:ascii="Calibri" w:hAnsi="Calibri"/>
                <w:b w:val="0"/>
                <w:i w:val="0"/>
                <w:color w:val="2D2D2D"/>
                <w:sz w:val="20"/>
              </w:rPr>
              <w:t xml:space="preserve"> (5) · </w:t>
            </w:r>
            <w:r>
              <w:rPr>
                <w:rFonts w:ascii="Calibri" w:hAnsi="Calibri"/>
                <w:b/>
                <w:i w:val="0"/>
                <w:color w:val="2D2D2D"/>
                <w:sz w:val="20"/>
              </w:rPr>
              <w:t>Qualys build</w:t>
            </w:r>
            <w:r>
              <w:rPr>
                <w:rFonts w:ascii="Calibri" w:hAnsi="Calibri"/>
                <w:b w:val="0"/>
                <w:i w:val="0"/>
                <w:color w:val="2D2D2D"/>
                <w:sz w:val="20"/>
              </w:rPr>
              <w:t xml:space="preserve"> (2) · </w:t>
            </w:r>
            <w:r>
              <w:rPr>
                <w:rFonts w:ascii="Calibri" w:hAnsi="Calibri"/>
                <w:b/>
                <w:i w:val="0"/>
                <w:color w:val="2D2D2D"/>
                <w:sz w:val="20"/>
              </w:rPr>
              <w:t>Network Gear</w:t>
            </w:r>
            <w:r>
              <w:rPr>
                <w:rFonts w:ascii="Calibri" w:hAnsi="Calibri"/>
                <w:b w:val="0"/>
                <w:i w:val="0"/>
                <w:color w:val="2D2D2D"/>
                <w:sz w:val="20"/>
              </w:rPr>
              <w:t xml:space="preserve"> (2) · Sailpoint / Moveworks (2)</w:t>
            </w:r>
          </w:p>
        </w:tc>
        <w:tc>
          <w:tcPr>
            <w:tcW w:type="dxa" w:w="2160"/>
            <w:vAlign w:val="center"/>
            <w:shd w:val="clear" w:color="auto" w:fill="F4F6F9"/>
          </w:tcPr>
          <w:p>
            <w:pPr>
              <w:jc w:val="center"/>
            </w:pPr>
            <w:r>
              <w:rPr>
                <w:rFonts w:ascii="Calibri" w:hAnsi="Calibri"/>
                <w:b/>
                <w:i w:val="0"/>
                <w:color w:val="2D2D2D"/>
                <w:sz w:val="20"/>
              </w:rPr>
              <w:t>15</w:t>
            </w:r>
          </w:p>
        </w:tc>
        <w:tc>
          <w:tcPr>
            <w:tcW w:type="dxa" w:w="1872"/>
            <w:vAlign w:val="center"/>
            <w:shd w:val="clear" w:color="auto" w:fill="F4F6F9"/>
          </w:tcPr>
          <w:p>
            <w:pPr>
              <w:jc w:val="center"/>
            </w:pPr>
            <w:r>
              <w:rPr>
                <w:rFonts w:ascii="Calibri" w:hAnsi="Calibri"/>
                <w:b/>
                <w:i w:val="0"/>
                <w:color w:val="2D2D2D"/>
                <w:sz w:val="20"/>
              </w:rPr>
              <w:t>~30%</w:t>
            </w:r>
          </w:p>
        </w:tc>
      </w:tr>
      <w:tr>
        <w:tc>
          <w:tcPr>
            <w:tcW w:type="dxa" w:w="6192"/>
            <w:vAlign w:val="center"/>
          </w:tcPr>
          <w:p>
            <w:pPr>
              <w:jc w:val="left"/>
            </w:pPr>
            <w:r>
              <w:rPr>
                <w:rFonts w:ascii="Calibri" w:hAnsi="Calibri"/>
                <w:b w:val="0"/>
                <w:i w:val="0"/>
                <w:color w:val="2D2D2D"/>
                <w:sz w:val="20"/>
              </w:rPr>
              <w:t>Borderline — Operational Monitoring (2 + 1)</w:t>
            </w:r>
          </w:p>
        </w:tc>
        <w:tc>
          <w:tcPr>
            <w:tcW w:type="dxa" w:w="2160"/>
            <w:vAlign w:val="center"/>
          </w:tcPr>
          <w:p>
            <w:pPr>
              <w:jc w:val="center"/>
            </w:pPr>
            <w:r>
              <w:rPr>
                <w:rFonts w:ascii="Calibri" w:hAnsi="Calibri"/>
                <w:b w:val="0"/>
                <w:i w:val="0"/>
                <w:color w:val="2D2D2D"/>
                <w:sz w:val="20"/>
              </w:rPr>
              <w:t>3</w:t>
            </w:r>
          </w:p>
        </w:tc>
        <w:tc>
          <w:tcPr>
            <w:tcW w:type="dxa" w:w="1872"/>
            <w:vAlign w:val="center"/>
          </w:tcPr>
          <w:p>
            <w:pPr>
              <w:jc w:val="center"/>
            </w:pPr>
            <w:r>
              <w:rPr>
                <w:rFonts w:ascii="Calibri" w:hAnsi="Calibri"/>
                <w:b w:val="0"/>
                <w:i w:val="0"/>
                <w:color w:val="2D2D2D"/>
                <w:sz w:val="20"/>
              </w:rPr>
              <w:t>~6%</w:t>
            </w:r>
          </w:p>
        </w:tc>
      </w:tr>
      <w:tr>
        <w:tc>
          <w:tcPr>
            <w:tcW w:type="dxa" w:w="6192"/>
            <w:vAlign w:val="center"/>
            <w:shd w:val="clear" w:color="auto" w:fill="F4F6F9"/>
          </w:tcPr>
          <w:p>
            <w:pPr>
              <w:jc w:val="left"/>
            </w:pPr>
            <w:r>
              <w:rPr>
                <w:rFonts w:ascii="Calibri" w:hAnsi="Calibri"/>
                <w:b/>
                <w:i w:val="0"/>
                <w:color w:val="2D2D2D"/>
                <w:sz w:val="20"/>
              </w:rPr>
              <w:t>Total</w:t>
            </w:r>
          </w:p>
        </w:tc>
        <w:tc>
          <w:tcPr>
            <w:tcW w:type="dxa" w:w="2160"/>
            <w:vAlign w:val="center"/>
            <w:shd w:val="clear" w:color="auto" w:fill="F4F6F9"/>
          </w:tcPr>
          <w:p>
            <w:pPr>
              <w:jc w:val="center"/>
            </w:pPr>
            <w:r>
              <w:rPr>
                <w:rFonts w:ascii="Calibri" w:hAnsi="Calibri"/>
                <w:b/>
                <w:i w:val="0"/>
                <w:color w:val="2D2D2D"/>
                <w:sz w:val="20"/>
              </w:rPr>
              <w:t>~51</w:t>
            </w:r>
          </w:p>
        </w:tc>
        <w:tc>
          <w:tcPr>
            <w:tcW w:type="dxa" w:w="1872"/>
            <w:vAlign w:val="center"/>
            <w:shd w:val="clear" w:color="auto" w:fill="F4F6F9"/>
          </w:tcPr>
          <w:p>
            <w:pPr>
              <w:jc w:val="center"/>
            </w:pPr>
          </w:p>
        </w:tc>
      </w:tr>
    </w:tbl>
    <w:p>
      <w:pPr>
        <w:spacing w:after="120"/>
      </w:pPr>
      <w:r>
        <w:rPr>
          <w:rFonts w:ascii="Calibri" w:hAnsi="Calibri"/>
          <w:b w:val="0"/>
          <w:i w:val="0"/>
          <w:color w:val="6B7280"/>
          <w:sz w:val="18"/>
        </w:rPr>
        <w:t>¹ Airlift's 4 stories sit past the export slice but are counted per the flagged 2-resource Sprint-2.3 effort.</w:t>
      </w:r>
    </w:p>
    <w:p>
      <w:pPr>
        <w:spacing w:before="240" w:after="120"/>
      </w:pPr>
      <w:r>
        <w:rPr>
          <w:rFonts w:ascii="Calibri" w:hAnsi="Calibri"/>
          <w:b/>
          <w:color w:val="1F3A5F"/>
          <w:sz w:val="24"/>
        </w:rPr>
        <w:t>Corroborating view — by story points</w:t>
      </w:r>
    </w:p>
    <w:tbl>
      <w:tblPr>
        <w:tblStyle w:val="TableGrid"/>
        <w:tblW w:type="auto" w:w="0"/>
        <w:tblLayout w:type="fixed"/>
        <w:tblLook w:firstColumn="1" w:firstRow="1" w:lastColumn="0" w:lastRow="0" w:noHBand="0" w:noVBand="1" w:val="04A0"/>
      </w:tblPr>
      <w:tblGrid>
        <w:gridCol w:w="3168"/>
        <w:gridCol w:w="720"/>
        <w:gridCol w:w="3744"/>
        <w:gridCol w:w="2592"/>
      </w:tblGrid>
      <w:tr>
        <w:tc>
          <w:tcPr>
            <w:tcW w:type="dxa" w:w="3168"/>
            <w:shd w:val="clear" w:color="auto" w:fill="1F3A5F"/>
            <w:vAlign w:val="center"/>
          </w:tcPr>
          <w:p>
            <w:pPr>
              <w:jc w:val="left"/>
            </w:pPr>
            <w:r>
              <w:rPr>
                <w:rFonts w:ascii="Calibri" w:hAnsi="Calibri"/>
                <w:b/>
                <w:i w:val="0"/>
                <w:color w:val="FFFFFF"/>
                <w:sz w:val="20"/>
              </w:rPr>
              <w:t>Out-of-scope stream</w:t>
            </w:r>
          </w:p>
        </w:tc>
        <w:tc>
          <w:tcPr>
            <w:tcW w:type="dxa" w:w="720"/>
            <w:shd w:val="clear" w:color="auto" w:fill="1F3A5F"/>
            <w:vAlign w:val="center"/>
          </w:tcPr>
          <w:p>
            <w:pPr>
              <w:jc w:val="left"/>
            </w:pPr>
            <w:r>
              <w:rPr>
                <w:rFonts w:ascii="Calibri" w:hAnsi="Calibri"/>
                <w:b/>
                <w:i w:val="0"/>
                <w:color w:val="FFFFFF"/>
                <w:sz w:val="20"/>
              </w:rPr>
              <w:t>Pts</w:t>
            </w:r>
          </w:p>
        </w:tc>
        <w:tc>
          <w:tcPr>
            <w:tcW w:type="dxa" w:w="3744"/>
            <w:shd w:val="clear" w:color="auto" w:fill="1F3A5F"/>
            <w:vAlign w:val="center"/>
          </w:tcPr>
          <w:p>
            <w:pPr>
              <w:jc w:val="left"/>
            </w:pPr>
            <w:r>
              <w:rPr>
                <w:rFonts w:ascii="Calibri" w:hAnsi="Calibri"/>
                <w:b/>
                <w:i w:val="0"/>
                <w:color w:val="FFFFFF"/>
                <w:sz w:val="20"/>
              </w:rPr>
              <w:t>Items</w:t>
            </w:r>
          </w:p>
        </w:tc>
        <w:tc>
          <w:tcPr>
            <w:tcW w:type="dxa" w:w="2592"/>
            <w:shd w:val="clear" w:color="auto" w:fill="1F3A5F"/>
            <w:vAlign w:val="center"/>
          </w:tcPr>
          <w:p>
            <w:pPr>
              <w:jc w:val="left"/>
            </w:pPr>
            <w:r>
              <w:rPr>
                <w:rFonts w:ascii="Calibri" w:hAnsi="Calibri"/>
                <w:b/>
                <w:i w:val="0"/>
                <w:color w:val="FFFFFF"/>
                <w:sz w:val="20"/>
              </w:rPr>
              <w:t>Status</w:t>
            </w:r>
          </w:p>
        </w:tc>
      </w:tr>
      <w:tr>
        <w:tc>
          <w:tcPr>
            <w:tcW w:type="dxa" w:w="3168"/>
            <w:vAlign w:val="center"/>
          </w:tcPr>
          <w:p>
            <w:pPr>
              <w:jc w:val="left"/>
            </w:pPr>
            <w:r>
              <w:rPr>
                <w:rFonts w:ascii="Calibri" w:hAnsi="Calibri"/>
                <w:b/>
                <w:i w:val="0"/>
                <w:color w:val="2D2D2D"/>
                <w:sz w:val="20"/>
              </w:rPr>
              <w:t>Airlift / VMware→Azure</w:t>
            </w:r>
            <w:r>
              <w:rPr>
                <w:rFonts w:ascii="Calibri" w:hAnsi="Calibri"/>
                <w:b w:val="0"/>
                <w:i w:val="0"/>
                <w:color w:val="2D2D2D"/>
                <w:sz w:val="20"/>
              </w:rPr>
              <w:t xml:space="preserve"> (P0 · Feat 1420613)</w:t>
            </w:r>
          </w:p>
        </w:tc>
        <w:tc>
          <w:tcPr>
            <w:tcW w:type="dxa" w:w="720"/>
            <w:vAlign w:val="center"/>
          </w:tcPr>
          <w:p>
            <w:pPr>
              <w:jc w:val="center"/>
            </w:pPr>
            <w:r>
              <w:rPr>
                <w:rFonts w:ascii="Calibri" w:hAnsi="Calibri"/>
                <w:b/>
                <w:i w:val="0"/>
                <w:color w:val="2D2D2D"/>
                <w:sz w:val="20"/>
              </w:rPr>
              <w:t>16</w:t>
            </w:r>
          </w:p>
        </w:tc>
        <w:tc>
          <w:tcPr>
            <w:tcW w:type="dxa" w:w="3744"/>
            <w:vAlign w:val="center"/>
          </w:tcPr>
          <w:p>
            <w:pPr>
              <w:jc w:val="left"/>
            </w:pPr>
            <w:r>
              <w:rPr>
                <w:rFonts w:ascii="Calibri" w:hAnsi="Calibri"/>
                <w:b w:val="0"/>
                <w:i w:val="0"/>
                <w:color w:val="2D2D2D"/>
                <w:sz w:val="18"/>
              </w:rPr>
              <w:t>1418610 / 18 / 21 + 1416384 (unpointed; 16 = 2 resources × S2.3)</w:t>
            </w:r>
          </w:p>
        </w:tc>
        <w:tc>
          <w:tcPr>
            <w:tcW w:type="dxa" w:w="2592"/>
            <w:vAlign w:val="center"/>
          </w:tcPr>
          <w:p>
            <w:pPr>
              <w:jc w:val="left"/>
            </w:pPr>
            <w:r>
              <w:rPr>
                <w:rFonts w:ascii="Calibri" w:hAnsi="Calibri"/>
                <w:b w:val="0"/>
                <w:i w:val="0"/>
                <w:color w:val="2D2D2D"/>
                <w:sz w:val="18"/>
              </w:rPr>
              <w:t>3 Validation · 1 Active</w:t>
            </w:r>
          </w:p>
        </w:tc>
      </w:tr>
      <w:tr>
        <w:tc>
          <w:tcPr>
            <w:tcW w:type="dxa" w:w="3168"/>
            <w:vAlign w:val="center"/>
            <w:shd w:val="clear" w:color="auto" w:fill="F4F6F9"/>
          </w:tcPr>
          <w:p>
            <w:pPr>
              <w:jc w:val="left"/>
            </w:pPr>
            <w:r>
              <w:rPr>
                <w:rFonts w:ascii="Calibri" w:hAnsi="Calibri"/>
                <w:b/>
                <w:i w:val="0"/>
                <w:color w:val="2D2D2D"/>
                <w:sz w:val="20"/>
              </w:rPr>
              <w:t>NowAssist AI</w:t>
            </w:r>
            <w:r>
              <w:rPr>
                <w:rFonts w:ascii="Calibri" w:hAnsi="Calibri"/>
                <w:b w:val="0"/>
                <w:i w:val="0"/>
                <w:color w:val="2D2D2D"/>
                <w:sz w:val="20"/>
              </w:rPr>
              <w:t xml:space="preserve"> (P5 · Feat 1436574)</w:t>
            </w:r>
          </w:p>
        </w:tc>
        <w:tc>
          <w:tcPr>
            <w:tcW w:type="dxa" w:w="720"/>
            <w:vAlign w:val="center"/>
            <w:shd w:val="clear" w:color="auto" w:fill="F4F6F9"/>
          </w:tcPr>
          <w:p>
            <w:pPr>
              <w:jc w:val="center"/>
            </w:pPr>
            <w:r>
              <w:rPr>
                <w:rFonts w:ascii="Calibri" w:hAnsi="Calibri"/>
                <w:b/>
                <w:i w:val="0"/>
                <w:color w:val="2D2D2D"/>
                <w:sz w:val="20"/>
              </w:rPr>
              <w:t>6</w:t>
            </w:r>
          </w:p>
        </w:tc>
        <w:tc>
          <w:tcPr>
            <w:tcW w:type="dxa" w:w="3744"/>
            <w:vAlign w:val="center"/>
            <w:shd w:val="clear" w:color="auto" w:fill="F4F6F9"/>
          </w:tcPr>
          <w:p>
            <w:pPr>
              <w:jc w:val="left"/>
            </w:pPr>
            <w:r>
              <w:rPr>
                <w:rFonts w:ascii="Calibri" w:hAnsi="Calibri"/>
                <w:b w:val="0"/>
                <w:i w:val="0"/>
                <w:color w:val="2D2D2D"/>
                <w:sz w:val="18"/>
              </w:rPr>
              <w:t>1436576, 1436579, 1436592, 1436593 + 1470837 health spike</w:t>
            </w:r>
          </w:p>
        </w:tc>
        <w:tc>
          <w:tcPr>
            <w:tcW w:type="dxa" w:w="2592"/>
            <w:vAlign w:val="center"/>
            <w:shd w:val="clear" w:color="auto" w:fill="F4F6F9"/>
          </w:tcPr>
          <w:p>
            <w:pPr>
              <w:jc w:val="left"/>
            </w:pPr>
            <w:r>
              <w:rPr>
                <w:rFonts w:ascii="Calibri" w:hAnsi="Calibri"/>
                <w:b w:val="0"/>
                <w:i w:val="0"/>
                <w:color w:val="2D2D2D"/>
                <w:sz w:val="18"/>
              </w:rPr>
              <w:t>Mostly Resolved / Validation</w:t>
            </w:r>
          </w:p>
        </w:tc>
      </w:tr>
      <w:tr>
        <w:tc>
          <w:tcPr>
            <w:tcW w:type="dxa" w:w="3168"/>
            <w:vAlign w:val="center"/>
          </w:tcPr>
          <w:p>
            <w:pPr>
              <w:jc w:val="left"/>
            </w:pPr>
            <w:r>
              <w:rPr>
                <w:rFonts w:ascii="Calibri" w:hAnsi="Calibri"/>
                <w:b/>
                <w:i w:val="0"/>
                <w:color w:val="2D2D2D"/>
                <w:sz w:val="20"/>
              </w:rPr>
              <w:t>Qualys build</w:t>
            </w:r>
            <w:r>
              <w:rPr>
                <w:rFonts w:ascii="Calibri" w:hAnsi="Calibri"/>
                <w:b w:val="0"/>
                <w:i w:val="0"/>
                <w:color w:val="2D2D2D"/>
                <w:sz w:val="20"/>
              </w:rPr>
              <w:t xml:space="preserve"> (P4 · beyond CO5 requirements)</w:t>
            </w:r>
          </w:p>
        </w:tc>
        <w:tc>
          <w:tcPr>
            <w:tcW w:type="dxa" w:w="720"/>
            <w:vAlign w:val="center"/>
          </w:tcPr>
          <w:p>
            <w:pPr>
              <w:jc w:val="center"/>
            </w:pPr>
            <w:r>
              <w:rPr>
                <w:rFonts w:ascii="Calibri" w:hAnsi="Calibri"/>
                <w:b/>
                <w:i w:val="0"/>
                <w:color w:val="2D2D2D"/>
                <w:sz w:val="20"/>
              </w:rPr>
              <w:t>2</w:t>
            </w:r>
          </w:p>
        </w:tc>
        <w:tc>
          <w:tcPr>
            <w:tcW w:type="dxa" w:w="3744"/>
            <w:vAlign w:val="center"/>
          </w:tcPr>
          <w:p>
            <w:pPr>
              <w:jc w:val="left"/>
            </w:pPr>
            <w:r>
              <w:rPr>
                <w:rFonts w:ascii="Calibri" w:hAnsi="Calibri"/>
                <w:b w:val="0"/>
                <w:i w:val="0"/>
                <w:color w:val="2D2D2D"/>
                <w:sz w:val="18"/>
              </w:rPr>
              <w:t>1428703, 1428704</w:t>
            </w:r>
          </w:p>
        </w:tc>
        <w:tc>
          <w:tcPr>
            <w:tcW w:type="dxa" w:w="2592"/>
            <w:vAlign w:val="center"/>
          </w:tcPr>
          <w:p>
            <w:pPr>
              <w:jc w:val="left"/>
            </w:pPr>
            <w:r>
              <w:rPr>
                <w:rFonts w:ascii="Calibri" w:hAnsi="Calibri"/>
                <w:b w:val="0"/>
                <w:i w:val="0"/>
                <w:color w:val="2D2D2D"/>
                <w:sz w:val="18"/>
              </w:rPr>
              <w:t>BLOCKED — vendor plugin (Issue 1465952)</w:t>
            </w:r>
          </w:p>
        </w:tc>
      </w:tr>
      <w:tr>
        <w:tc>
          <w:tcPr>
            <w:tcW w:type="dxa" w:w="3168"/>
            <w:vAlign w:val="center"/>
            <w:shd w:val="clear" w:color="auto" w:fill="F4F6F9"/>
          </w:tcPr>
          <w:p>
            <w:pPr>
              <w:jc w:val="left"/>
            </w:pPr>
            <w:r>
              <w:rPr>
                <w:rFonts w:ascii="Calibri" w:hAnsi="Calibri"/>
                <w:b/>
                <w:i w:val="0"/>
                <w:color w:val="2D2D2D"/>
                <w:sz w:val="20"/>
              </w:rPr>
              <w:t>Out-of-scope subtotal</w:t>
            </w:r>
          </w:p>
        </w:tc>
        <w:tc>
          <w:tcPr>
            <w:tcW w:type="dxa" w:w="720"/>
            <w:vAlign w:val="center"/>
            <w:shd w:val="clear" w:color="auto" w:fill="F4F6F9"/>
          </w:tcPr>
          <w:p>
            <w:pPr>
              <w:jc w:val="center"/>
            </w:pPr>
            <w:r>
              <w:rPr>
                <w:rFonts w:ascii="Calibri" w:hAnsi="Calibri"/>
                <w:b/>
                <w:i w:val="0"/>
                <w:color w:val="2D2D2D"/>
                <w:sz w:val="20"/>
              </w:rPr>
              <w:t>24</w:t>
            </w:r>
          </w:p>
        </w:tc>
        <w:tc>
          <w:tcPr>
            <w:tcW w:type="dxa" w:w="3744"/>
            <w:vAlign w:val="center"/>
            <w:shd w:val="clear" w:color="auto" w:fill="F4F6F9"/>
          </w:tcPr>
          <w:p>
            <w:pPr>
              <w:jc w:val="left"/>
            </w:pPr>
            <w:r>
              <w:rPr>
                <w:rFonts w:ascii="Calibri" w:hAnsi="Calibri"/>
                <w:b w:val="0"/>
                <w:i w:val="0"/>
                <w:color w:val="2D2D2D"/>
                <w:sz w:val="18"/>
              </w:rPr>
              <w:t xml:space="preserve">vs </w:t>
            </w:r>
            <w:r>
              <w:rPr>
                <w:rFonts w:ascii="Calibri" w:hAnsi="Calibri"/>
                <w:b/>
                <w:i w:val="0"/>
                <w:color w:val="2D2D2D"/>
                <w:sz w:val="18"/>
              </w:rPr>
              <w:t>48</w:t>
            </w:r>
            <w:r>
              <w:rPr>
                <w:rFonts w:ascii="Calibri" w:hAnsi="Calibri"/>
                <w:b w:val="0"/>
                <w:i w:val="0"/>
                <w:color w:val="2D2D2D"/>
                <w:sz w:val="18"/>
              </w:rPr>
              <w:t xml:space="preserve"> in-scope (CO5 35 + Service Mapping 13)</w:t>
            </w:r>
          </w:p>
        </w:tc>
        <w:tc>
          <w:tcPr>
            <w:tcW w:type="dxa" w:w="2592"/>
            <w:vAlign w:val="center"/>
            <w:shd w:val="clear" w:color="auto" w:fill="F4F6F9"/>
          </w:tcPr>
          <w:p>
            <w:pPr>
              <w:jc w:val="left"/>
            </w:pPr>
          </w:p>
        </w:tc>
      </w:tr>
    </w:tbl>
    <w:p>
      <w:pPr>
        <w:spacing w:after="120"/>
      </w:pPr>
      <w:r>
        <w:rPr>
          <w:rFonts w:ascii="Calibri" w:hAnsi="Calibri"/>
          <w:b w:val="0"/>
          <w:i/>
          <w:color w:val="334455"/>
          <w:sz w:val="20"/>
        </w:rPr>
        <w:t>Both numbers are floors. Network Gear (CO6), NERC-CIP, and Upgrade Analysis are out of scope too, but they're mostly unpointed, so they barely show up in the points column. The in-scope side is undercounted as well: a few pointed 2.3 stories (SCCM Server precedence, 1454371, 1387236, ~7 pts) landed after my export slice. Add those and in-scope rises, which pushes out-of-scope a bit under 30%.</w:t>
      </w:r>
    </w:p>
    <w:p>
      <w:pPr>
        <w:spacing w:before="280" w:after="120"/>
      </w:pPr>
      <w:r>
        <w:rPr>
          <w:rFonts w:ascii="Calibri" w:hAnsi="Calibri"/>
          <w:b/>
          <w:color w:val="1F3A5F"/>
          <w:sz w:val="30"/>
        </w:rPr>
        <w:t>2. CO5 deliverable status — all due June 30, 2026</w:t>
      </w:r>
    </w:p>
    <w:p>
      <w:pPr>
        <w:spacing w:after="120"/>
      </w:pPr>
      <w:r>
        <w:rPr>
          <w:rFonts w:ascii="Calibri" w:hAnsi="Calibri"/>
          <w:b w:val="0"/>
          <w:i w:val="0"/>
          <w:color w:val="2D2D2D"/>
          <w:sz w:val="22"/>
        </w:rPr>
        <w:t xml:space="preserve">Accepting these three deliverables is what releases the </w:t>
      </w:r>
      <w:r>
        <w:rPr>
          <w:rFonts w:ascii="Calibri" w:hAnsi="Calibri"/>
          <w:b/>
          <w:i w:val="0"/>
          <w:color w:val="2D2D2D"/>
          <w:sz w:val="22"/>
        </w:rPr>
        <w:t>$533,775 holdback</w:t>
      </w:r>
      <w:r>
        <w:rPr>
          <w:rFonts w:ascii="Calibri" w:hAnsi="Calibri"/>
          <w:b w:val="0"/>
          <w:i w:val="0"/>
          <w:color w:val="2D2D2D"/>
          <w:sz w:val="22"/>
        </w:rPr>
        <w:t>.</w:t>
      </w:r>
    </w:p>
    <w:tbl>
      <w:tblPr>
        <w:tblStyle w:val="TableGrid"/>
        <w:tblW w:type="auto" w:w="0"/>
        <w:tblLayout w:type="fixed"/>
        <w:tblLook w:firstColumn="1" w:firstRow="1" w:lastColumn="0" w:lastRow="0" w:noHBand="0" w:noVBand="1" w:val="04A0"/>
      </w:tblPr>
      <w:tblGrid>
        <w:gridCol w:w="1800"/>
        <w:gridCol w:w="2808"/>
        <w:gridCol w:w="792"/>
        <w:gridCol w:w="720"/>
        <w:gridCol w:w="4104"/>
      </w:tblGrid>
      <w:tr>
        <w:tc>
          <w:tcPr>
            <w:tcW w:type="dxa" w:w="1800"/>
            <w:shd w:val="clear" w:color="auto" w:fill="1F3A5F"/>
            <w:vAlign w:val="center"/>
          </w:tcPr>
          <w:p>
            <w:pPr>
              <w:jc w:val="left"/>
            </w:pPr>
            <w:r>
              <w:rPr>
                <w:rFonts w:ascii="Calibri" w:hAnsi="Calibri"/>
                <w:b/>
                <w:i w:val="0"/>
                <w:color w:val="FFFFFF"/>
                <w:sz w:val="20"/>
              </w:rPr>
              <w:t>Deliverable</w:t>
            </w:r>
          </w:p>
        </w:tc>
        <w:tc>
          <w:tcPr>
            <w:tcW w:type="dxa" w:w="2808"/>
            <w:shd w:val="clear" w:color="auto" w:fill="1F3A5F"/>
            <w:vAlign w:val="center"/>
          </w:tcPr>
          <w:p>
            <w:pPr>
              <w:jc w:val="left"/>
            </w:pPr>
            <w:r>
              <w:rPr>
                <w:rFonts w:ascii="Calibri" w:hAnsi="Calibri"/>
                <w:b/>
                <w:i w:val="0"/>
                <w:color w:val="FFFFFF"/>
                <w:sz w:val="20"/>
              </w:rPr>
              <w:t>Sub-item</w:t>
            </w:r>
          </w:p>
        </w:tc>
        <w:tc>
          <w:tcPr>
            <w:tcW w:type="dxa" w:w="792"/>
            <w:shd w:val="clear" w:color="auto" w:fill="1F3A5F"/>
            <w:vAlign w:val="center"/>
          </w:tcPr>
          <w:p>
            <w:pPr>
              <w:jc w:val="left"/>
            </w:pPr>
            <w:r>
              <w:rPr>
                <w:rFonts w:ascii="Calibri" w:hAnsi="Calibri"/>
                <w:b/>
                <w:i w:val="0"/>
                <w:color w:val="FFFFFF"/>
                <w:sz w:val="20"/>
              </w:rPr>
              <w:t>Due</w:t>
            </w:r>
          </w:p>
        </w:tc>
        <w:tc>
          <w:tcPr>
            <w:tcW w:type="dxa" w:w="720"/>
            <w:shd w:val="clear" w:color="auto" w:fill="1F3A5F"/>
            <w:vAlign w:val="center"/>
          </w:tcPr>
          <w:p>
            <w:pPr>
              <w:jc w:val="left"/>
            </w:pPr>
            <w:r>
              <w:rPr>
                <w:rFonts w:ascii="Calibri" w:hAnsi="Calibri"/>
                <w:b/>
                <w:i w:val="0"/>
                <w:color w:val="FFFFFF"/>
                <w:sz w:val="20"/>
              </w:rPr>
              <w:t>RAG</w:t>
            </w:r>
          </w:p>
        </w:tc>
        <w:tc>
          <w:tcPr>
            <w:tcW w:type="dxa" w:w="4104"/>
            <w:shd w:val="clear" w:color="auto" w:fill="1F3A5F"/>
            <w:vAlign w:val="center"/>
          </w:tcPr>
          <w:p>
            <w:pPr>
              <w:jc w:val="left"/>
            </w:pPr>
            <w:r>
              <w:rPr>
                <w:rFonts w:ascii="Calibri" w:hAnsi="Calibri"/>
                <w:b/>
                <w:i w:val="0"/>
                <w:color w:val="FFFFFF"/>
                <w:sz w:val="20"/>
              </w:rPr>
              <w:t>Status / evidence</w:t>
            </w:r>
          </w:p>
        </w:tc>
      </w:tr>
      <w:tr>
        <w:tc>
          <w:tcPr>
            <w:tcW w:type="dxa" w:w="1800"/>
            <w:vMerge w:val="restart"/>
            <w:vAlign w:val="center"/>
          </w:tcPr>
          <w:p>
            <w:pPr>
              <w:jc w:val="left"/>
            </w:pPr>
            <w:r>
              <w:rPr>
                <w:rFonts w:ascii="Calibri" w:hAnsi="Calibri"/>
                <w:b/>
                <w:i w:val="0"/>
                <w:color w:val="1F3A5F"/>
                <w:sz w:val="20"/>
              </w:rPr>
              <w:t>1. Governance</w:t>
            </w:r>
          </w:p>
        </w:tc>
        <w:tc>
          <w:tcPr>
            <w:tcW w:type="dxa" w:w="2808"/>
            <w:vAlign w:val="center"/>
          </w:tcPr>
          <w:p>
            <w:pPr>
              <w:jc w:val="left"/>
            </w:pPr>
            <w:r>
              <w:rPr>
                <w:rFonts w:ascii="Calibri" w:hAnsi="Calibri"/>
                <w:b w:val="0"/>
                <w:i w:val="0"/>
                <w:color w:val="2D2D2D"/>
                <w:sz w:val="19"/>
              </w:rPr>
              <w:t>1.1 Data Dictionary — Servers</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Feat 1354797 Ready; 1421790 Validation; 1454371 Active</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1.1 — Computers</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1313400 Resolved; 1399547 / 1455858 Validation</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1.1 — Business Apps</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1475584/585/582, 1478286, 1474892 — New / Refinement (early)</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1.1 — Databases [G1]</w:t>
            </w:r>
          </w:p>
        </w:tc>
        <w:tc>
          <w:tcPr>
            <w:tcW w:type="dxa" w:w="792"/>
            <w:vAlign w:val="center"/>
          </w:tcPr>
          <w:p>
            <w:pPr>
              <w:jc w:val="center"/>
            </w:pPr>
            <w:r>
              <w:rPr>
                <w:rFonts w:ascii="Calibri" w:hAnsi="Calibri"/>
                <w:b w:val="0"/>
                <w:i w:val="0"/>
                <w:color w:val="2D2D2D"/>
                <w:sz w:val="19"/>
              </w:rPr>
              <w:t>Jun 30</w:t>
            </w:r>
          </w:p>
        </w:tc>
        <w:tc>
          <w:tcPr>
            <w:tcW w:type="dxa" w:w="720"/>
            <w:shd w:val="clear" w:color="auto" w:fill="C0392B"/>
            <w:vAlign w:val="center"/>
          </w:tcPr>
          <w:p>
            <w:pPr>
              <w:jc w:val="center"/>
            </w:pPr>
            <w:r>
              <w:rPr>
                <w:rFonts w:ascii="Calibri" w:hAnsi="Calibri"/>
                <w:b/>
                <w:i w:val="0"/>
                <w:color w:val="FFFFFF"/>
                <w:sz w:val="20"/>
              </w:rPr>
              <w:t>R</w:t>
            </w:r>
          </w:p>
        </w:tc>
        <w:tc>
          <w:tcPr>
            <w:tcW w:type="dxa" w:w="4104"/>
            <w:vAlign w:val="center"/>
          </w:tcPr>
          <w:p>
            <w:pPr>
              <w:jc w:val="left"/>
            </w:pPr>
            <w:r>
              <w:rPr>
                <w:rFonts w:ascii="Calibri" w:hAnsi="Calibri"/>
                <w:b w:val="0"/>
                <w:i w:val="0"/>
                <w:color w:val="2D2D2D"/>
                <w:sz w:val="19"/>
              </w:rPr>
              <w:t>HARD GAP — no dedicated DB data-dictionary story</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1.2 Data Certification</w:t>
            </w:r>
          </w:p>
        </w:tc>
        <w:tc>
          <w:tcPr>
            <w:tcW w:type="dxa" w:w="792"/>
            <w:vAlign w:val="center"/>
          </w:tcPr>
          <w:p>
            <w:pPr>
              <w:jc w:val="center"/>
            </w:pPr>
            <w:r>
              <w:rPr>
                <w:rFonts w:ascii="Calibri" w:hAnsi="Calibri"/>
                <w:b w:val="0"/>
                <w:i w:val="0"/>
                <w:color w:val="2D2D2D"/>
                <w:sz w:val="19"/>
              </w:rPr>
              <w:t>Jun 30</w:t>
            </w:r>
          </w:p>
        </w:tc>
        <w:tc>
          <w:tcPr>
            <w:tcW w:type="dxa" w:w="720"/>
            <w:shd w:val="clear" w:color="auto" w:fill="2E8B57"/>
            <w:vAlign w:val="center"/>
          </w:tcPr>
          <w:p>
            <w:pPr>
              <w:jc w:val="center"/>
            </w:pPr>
            <w:r>
              <w:rPr>
                <w:rFonts w:ascii="Calibri" w:hAnsi="Calibri"/>
                <w:b/>
                <w:i w:val="0"/>
                <w:color w:val="FFFFFF"/>
                <w:sz w:val="20"/>
              </w:rPr>
              <w:t>G</w:t>
            </w:r>
          </w:p>
        </w:tc>
        <w:tc>
          <w:tcPr>
            <w:tcW w:type="dxa" w:w="4104"/>
            <w:vAlign w:val="center"/>
          </w:tcPr>
          <w:p>
            <w:pPr>
              <w:jc w:val="left"/>
            </w:pPr>
            <w:r>
              <w:rPr>
                <w:rFonts w:ascii="Calibri" w:hAnsi="Calibri"/>
                <w:b w:val="0"/>
                <w:i w:val="0"/>
                <w:color w:val="2D2D2D"/>
                <w:sz w:val="19"/>
              </w:rPr>
              <w:t>Dashboard 1402727 UAT signed (6/10), PROD 6/23; 1435307 Resolved</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1.3 ESS-02 Alignment</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Spike 1420244 Active — analysis only; parent 1406668 Removed</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1.4 SOX BA review (SOX only, not NERC/CIP)</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Issue 1438967 Closed/approved; 1455827 in Iter 2.5 (post-deadline)</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1.5 Monthly CCB + future backlog</w:t>
            </w:r>
          </w:p>
        </w:tc>
        <w:tc>
          <w:tcPr>
            <w:tcW w:type="dxa" w:w="792"/>
            <w:vAlign w:val="center"/>
          </w:tcPr>
          <w:p>
            <w:pPr>
              <w:jc w:val="center"/>
            </w:pPr>
            <w:r>
              <w:rPr>
                <w:rFonts w:ascii="Calibri" w:hAnsi="Calibri"/>
                <w:b w:val="0"/>
                <w:i w:val="0"/>
                <w:color w:val="2D2D2D"/>
                <w:sz w:val="19"/>
              </w:rPr>
              <w:t>Jun 30</w:t>
            </w:r>
          </w:p>
        </w:tc>
        <w:tc>
          <w:tcPr>
            <w:tcW w:type="dxa" w:w="720"/>
            <w:shd w:val="clear" w:color="auto" w:fill="C0392B"/>
            <w:vAlign w:val="center"/>
          </w:tcPr>
          <w:p>
            <w:pPr>
              <w:jc w:val="center"/>
            </w:pPr>
            <w:r>
              <w:rPr>
                <w:rFonts w:ascii="Calibri" w:hAnsi="Calibri"/>
                <w:b/>
                <w:i w:val="0"/>
                <w:color w:val="FFFFFF"/>
                <w:sz w:val="20"/>
              </w:rPr>
              <w:t>R</w:t>
            </w:r>
          </w:p>
        </w:tc>
        <w:tc>
          <w:tcPr>
            <w:tcW w:type="dxa" w:w="4104"/>
            <w:vAlign w:val="center"/>
          </w:tcPr>
          <w:p>
            <w:pPr>
              <w:jc w:val="left"/>
            </w:pPr>
            <w:r>
              <w:rPr>
                <w:rFonts w:ascii="Calibri" w:hAnsi="Calibri"/>
                <w:b w:val="0"/>
                <w:i w:val="0"/>
                <w:color w:val="2D2D2D"/>
                <w:sz w:val="19"/>
              </w:rPr>
              <w:t>Cadence running (CCB 6/16) but 1406672/683/687 under Removed feature 1406668</w:t>
            </w:r>
          </w:p>
        </w:tc>
      </w:tr>
      <w:tr>
        <w:tc>
          <w:tcPr>
            <w:tcW w:type="dxa" w:w="1800"/>
            <w:vMerge w:val="restart"/>
            <w:vAlign w:val="center"/>
          </w:tcPr>
          <w:p>
            <w:pPr>
              <w:jc w:val="left"/>
            </w:pPr>
            <w:r>
              <w:rPr>
                <w:rFonts w:ascii="Calibri" w:hAnsi="Calibri"/>
                <w:b/>
                <w:i w:val="0"/>
                <w:color w:val="1F3A5F"/>
                <w:sz w:val="20"/>
              </w:rPr>
              <w:t>2. Automated Data Ingestion</w:t>
            </w:r>
          </w:p>
        </w:tc>
        <w:tc>
          <w:tcPr>
            <w:tcW w:type="dxa" w:w="2808"/>
            <w:vAlign w:val="center"/>
          </w:tcPr>
          <w:p>
            <w:pPr>
              <w:jc w:val="left"/>
            </w:pPr>
            <w:r>
              <w:rPr>
                <w:rFonts w:ascii="Calibri" w:hAnsi="Calibri"/>
                <w:b w:val="0"/>
                <w:i w:val="0"/>
                <w:color w:val="2D2D2D"/>
                <w:sz w:val="19"/>
              </w:rPr>
              <w:t>2.1 Computers — SCCM/Discovery precedence</w:t>
            </w:r>
          </w:p>
        </w:tc>
        <w:tc>
          <w:tcPr>
            <w:tcW w:type="dxa" w:w="792"/>
            <w:vAlign w:val="center"/>
          </w:tcPr>
          <w:p>
            <w:pPr>
              <w:jc w:val="center"/>
            </w:pPr>
            <w:r>
              <w:rPr>
                <w:rFonts w:ascii="Calibri" w:hAnsi="Calibri"/>
                <w:b w:val="0"/>
                <w:i w:val="0"/>
                <w:color w:val="2D2D2D"/>
                <w:sz w:val="19"/>
              </w:rPr>
              <w:t>Jun 30</w:t>
            </w:r>
          </w:p>
        </w:tc>
        <w:tc>
          <w:tcPr>
            <w:tcW w:type="dxa" w:w="720"/>
            <w:shd w:val="clear" w:color="auto" w:fill="2E8B57"/>
            <w:vAlign w:val="center"/>
          </w:tcPr>
          <w:p>
            <w:pPr>
              <w:jc w:val="center"/>
            </w:pPr>
            <w:r>
              <w:rPr>
                <w:rFonts w:ascii="Calibri" w:hAnsi="Calibri"/>
                <w:b/>
                <w:i w:val="0"/>
                <w:color w:val="FFFFFF"/>
                <w:sz w:val="20"/>
              </w:rPr>
              <w:t>G</w:t>
            </w:r>
          </w:p>
        </w:tc>
        <w:tc>
          <w:tcPr>
            <w:tcW w:type="dxa" w:w="4104"/>
            <w:vAlign w:val="center"/>
          </w:tcPr>
          <w:p>
            <w:pPr>
              <w:jc w:val="left"/>
            </w:pPr>
            <w:r>
              <w:rPr>
                <w:rFonts w:ascii="Calibri" w:hAnsi="Calibri"/>
                <w:b w:val="0"/>
                <w:i w:val="0"/>
                <w:color w:val="2D2D2D"/>
                <w:sz w:val="19"/>
              </w:rPr>
              <w:t>1348712/716/717 Resolved; 1348715 Validation</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2.1 Computers — 90% coverage [G2]</w:t>
            </w:r>
          </w:p>
        </w:tc>
        <w:tc>
          <w:tcPr>
            <w:tcW w:type="dxa" w:w="792"/>
            <w:vAlign w:val="center"/>
          </w:tcPr>
          <w:p>
            <w:pPr>
              <w:jc w:val="center"/>
            </w:pPr>
            <w:r>
              <w:rPr>
                <w:rFonts w:ascii="Calibri" w:hAnsi="Calibri"/>
                <w:b w:val="0"/>
                <w:i w:val="0"/>
                <w:color w:val="2D2D2D"/>
                <w:sz w:val="19"/>
              </w:rPr>
              <w:t>Jun 30</w:t>
            </w:r>
          </w:p>
        </w:tc>
        <w:tc>
          <w:tcPr>
            <w:tcW w:type="dxa" w:w="720"/>
            <w:shd w:val="clear" w:color="auto" w:fill="C0392B"/>
            <w:vAlign w:val="center"/>
          </w:tcPr>
          <w:p>
            <w:pPr>
              <w:jc w:val="center"/>
            </w:pPr>
            <w:r>
              <w:rPr>
                <w:rFonts w:ascii="Calibri" w:hAnsi="Calibri"/>
                <w:b/>
                <w:i w:val="0"/>
                <w:color w:val="FFFFFF"/>
                <w:sz w:val="20"/>
              </w:rPr>
              <w:t>R</w:t>
            </w:r>
          </w:p>
        </w:tc>
        <w:tc>
          <w:tcPr>
            <w:tcW w:type="dxa" w:w="4104"/>
            <w:vAlign w:val="center"/>
          </w:tcPr>
          <w:p>
            <w:pPr>
              <w:jc w:val="left"/>
            </w:pPr>
            <w:r>
              <w:rPr>
                <w:rFonts w:ascii="Calibri" w:hAnsi="Calibri"/>
                <w:b w:val="0"/>
                <w:i w:val="0"/>
                <w:color w:val="2D2D2D"/>
                <w:sz w:val="19"/>
              </w:rPr>
              <w:t>HARD GAP — no coverage-measurement story</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2.1 Computers — bulk Lifecycle</w:t>
            </w:r>
          </w:p>
        </w:tc>
        <w:tc>
          <w:tcPr>
            <w:tcW w:type="dxa" w:w="792"/>
            <w:vAlign w:val="center"/>
          </w:tcPr>
          <w:p>
            <w:pPr>
              <w:jc w:val="center"/>
            </w:pPr>
            <w:r>
              <w:rPr>
                <w:rFonts w:ascii="Calibri" w:hAnsi="Calibri"/>
                <w:b w:val="0"/>
                <w:i w:val="0"/>
                <w:color w:val="2D2D2D"/>
                <w:sz w:val="19"/>
              </w:rPr>
              <w:t>Jun 30</w:t>
            </w:r>
          </w:p>
        </w:tc>
        <w:tc>
          <w:tcPr>
            <w:tcW w:type="dxa" w:w="720"/>
            <w:shd w:val="clear" w:color="auto" w:fill="2E8B57"/>
            <w:vAlign w:val="center"/>
          </w:tcPr>
          <w:p>
            <w:pPr>
              <w:jc w:val="center"/>
            </w:pPr>
            <w:r>
              <w:rPr>
                <w:rFonts w:ascii="Calibri" w:hAnsi="Calibri"/>
                <w:b/>
                <w:i w:val="0"/>
                <w:color w:val="FFFFFF"/>
                <w:sz w:val="20"/>
              </w:rPr>
              <w:t>G</w:t>
            </w:r>
          </w:p>
        </w:tc>
        <w:tc>
          <w:tcPr>
            <w:tcW w:type="dxa" w:w="4104"/>
            <w:vAlign w:val="center"/>
          </w:tcPr>
          <w:p>
            <w:pPr>
              <w:jc w:val="left"/>
            </w:pPr>
            <w:r>
              <w:rPr>
                <w:rFonts w:ascii="Calibri" w:hAnsi="Calibri"/>
                <w:b w:val="0"/>
                <w:i w:val="0"/>
                <w:color w:val="2D2D2D"/>
                <w:sz w:val="19"/>
              </w:rPr>
              <w:t>1402790 Closed</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2.2 Servers — SCCM/Discovery precedence</w:t>
            </w:r>
          </w:p>
        </w:tc>
        <w:tc>
          <w:tcPr>
            <w:tcW w:type="dxa" w:w="792"/>
            <w:vAlign w:val="center"/>
          </w:tcPr>
          <w:p>
            <w:pPr>
              <w:jc w:val="center"/>
            </w:pPr>
            <w:r>
              <w:rPr>
                <w:rFonts w:ascii="Calibri" w:hAnsi="Calibri"/>
                <w:b w:val="0"/>
                <w:i w:val="0"/>
                <w:color w:val="2D2D2D"/>
                <w:sz w:val="19"/>
              </w:rPr>
              <w:t>Jun 30</w:t>
            </w:r>
          </w:p>
        </w:tc>
        <w:tc>
          <w:tcPr>
            <w:tcW w:type="dxa" w:w="720"/>
            <w:shd w:val="clear" w:color="auto" w:fill="2E8B57"/>
            <w:vAlign w:val="center"/>
          </w:tcPr>
          <w:p>
            <w:pPr>
              <w:jc w:val="center"/>
            </w:pPr>
            <w:r>
              <w:rPr>
                <w:rFonts w:ascii="Calibri" w:hAnsi="Calibri"/>
                <w:b/>
                <w:i w:val="0"/>
                <w:color w:val="FFFFFF"/>
                <w:sz w:val="20"/>
              </w:rPr>
              <w:t>G</w:t>
            </w:r>
          </w:p>
        </w:tc>
        <w:tc>
          <w:tcPr>
            <w:tcW w:type="dxa" w:w="4104"/>
            <w:vAlign w:val="center"/>
          </w:tcPr>
          <w:p>
            <w:pPr>
              <w:jc w:val="left"/>
            </w:pPr>
            <w:r>
              <w:rPr>
                <w:rFonts w:ascii="Calibri" w:hAnsi="Calibri"/>
                <w:b w:val="0"/>
                <w:i w:val="0"/>
                <w:color w:val="2D2D2D"/>
                <w:sz w:val="19"/>
              </w:rPr>
              <w:t>1403759/760/762/763 Validation</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2.2 Servers — credentials enabling discovery</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1444864 Validation; child tasks still Active</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2.2 Servers — 90% non-NERC-CIP coverage [G3]</w:t>
            </w:r>
          </w:p>
        </w:tc>
        <w:tc>
          <w:tcPr>
            <w:tcW w:type="dxa" w:w="792"/>
            <w:vAlign w:val="center"/>
          </w:tcPr>
          <w:p>
            <w:pPr>
              <w:jc w:val="center"/>
            </w:pPr>
            <w:r>
              <w:rPr>
                <w:rFonts w:ascii="Calibri" w:hAnsi="Calibri"/>
                <w:b w:val="0"/>
                <w:i w:val="0"/>
                <w:color w:val="2D2D2D"/>
                <w:sz w:val="19"/>
              </w:rPr>
              <w:t>Jun 30</w:t>
            </w:r>
          </w:p>
        </w:tc>
        <w:tc>
          <w:tcPr>
            <w:tcW w:type="dxa" w:w="720"/>
            <w:shd w:val="clear" w:color="auto" w:fill="C0392B"/>
            <w:vAlign w:val="center"/>
          </w:tcPr>
          <w:p>
            <w:pPr>
              <w:jc w:val="center"/>
            </w:pPr>
            <w:r>
              <w:rPr>
                <w:rFonts w:ascii="Calibri" w:hAnsi="Calibri"/>
                <w:b/>
                <w:i w:val="0"/>
                <w:color w:val="FFFFFF"/>
                <w:sz w:val="20"/>
              </w:rPr>
              <w:t>R</w:t>
            </w:r>
          </w:p>
        </w:tc>
        <w:tc>
          <w:tcPr>
            <w:tcW w:type="dxa" w:w="4104"/>
            <w:vAlign w:val="center"/>
          </w:tcPr>
          <w:p>
            <w:pPr>
              <w:jc w:val="left"/>
            </w:pPr>
            <w:r>
              <w:rPr>
                <w:rFonts w:ascii="Calibri" w:hAnsi="Calibri"/>
                <w:b w:val="0"/>
                <w:i w:val="0"/>
                <w:color w:val="2D2D2D"/>
                <w:sz w:val="19"/>
              </w:rPr>
              <w:t>HARD GAP — no coverage-measurement story</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2.2 / 2.3 Servers &amp; DB SOX indicators</w:t>
            </w:r>
          </w:p>
        </w:tc>
        <w:tc>
          <w:tcPr>
            <w:tcW w:type="dxa" w:w="792"/>
            <w:vAlign w:val="center"/>
          </w:tcPr>
          <w:p>
            <w:pPr>
              <w:jc w:val="center"/>
            </w:pPr>
            <w:r>
              <w:rPr>
                <w:rFonts w:ascii="Calibri" w:hAnsi="Calibri"/>
                <w:b w:val="0"/>
                <w:i w:val="0"/>
                <w:color w:val="2D2D2D"/>
                <w:sz w:val="19"/>
              </w:rPr>
              <w:t>Jun 30</w:t>
            </w:r>
          </w:p>
        </w:tc>
        <w:tc>
          <w:tcPr>
            <w:tcW w:type="dxa" w:w="720"/>
            <w:shd w:val="clear" w:color="auto" w:fill="9AA3AD"/>
            <w:vAlign w:val="center"/>
          </w:tcPr>
          <w:p>
            <w:pPr>
              <w:jc w:val="center"/>
            </w:pPr>
            <w:r>
              <w:rPr>
                <w:rFonts w:ascii="Calibri" w:hAnsi="Calibri"/>
                <w:b/>
                <w:i w:val="0"/>
                <w:color w:val="FFFFFF"/>
                <w:sz w:val="20"/>
              </w:rPr>
              <w:t>n/a</w:t>
            </w:r>
          </w:p>
        </w:tc>
        <w:tc>
          <w:tcPr>
            <w:tcW w:type="dxa" w:w="4104"/>
            <w:vAlign w:val="center"/>
          </w:tcPr>
          <w:p>
            <w:pPr>
              <w:jc w:val="left"/>
            </w:pPr>
            <w:r>
              <w:rPr>
                <w:rFonts w:ascii="Calibri" w:hAnsi="Calibri"/>
                <w:b w:val="0"/>
                <w:i w:val="0"/>
                <w:color w:val="2D2D2D"/>
                <w:sz w:val="19"/>
              </w:rPr>
              <w:t>Manual per CO5 — excluded from automation</w:t>
            </w:r>
          </w:p>
        </w:tc>
      </w:tr>
      <w:tr>
        <w:tc>
          <w:tcPr>
            <w:tcW w:type="dxa" w:w="1800"/>
            <w:vMerge/>
            <w:vAlign w:val="center"/>
          </w:tcPr>
          <w:p>
            <w:pPr>
              <w:jc w:val="left"/>
            </w:pPr>
          </w:p>
        </w:tc>
        <w:tc>
          <w:tcPr>
            <w:tcW w:type="dxa" w:w="2808"/>
            <w:vAlign w:val="center"/>
          </w:tcPr>
          <w:p>
            <w:pPr>
              <w:jc w:val="left"/>
            </w:pPr>
            <w:r>
              <w:rPr>
                <w:rFonts w:ascii="Calibri" w:hAnsi="Calibri"/>
                <w:b w:val="0"/>
                <w:i w:val="0"/>
                <w:color w:val="2D2D2D"/>
                <w:sz w:val="19"/>
              </w:rPr>
              <w:t>2.3 Databases — enhanced MS-SQL/Oracle Discovery</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Task-level only (creds under 1444864); no standalone story</w:t>
            </w:r>
          </w:p>
        </w:tc>
      </w:tr>
      <w:tr>
        <w:tc>
          <w:tcPr>
            <w:tcW w:type="dxa" w:w="1800"/>
            <w:vAlign w:val="center"/>
          </w:tcPr>
          <w:p>
            <w:pPr>
              <w:jc w:val="left"/>
            </w:pPr>
            <w:r>
              <w:rPr>
                <w:rFonts w:ascii="Calibri" w:hAnsi="Calibri"/>
                <w:b/>
                <w:i w:val="0"/>
                <w:color w:val="1F3A5F"/>
                <w:sz w:val="20"/>
              </w:rPr>
              <w:t>3. Other Enhancement</w:t>
            </w:r>
          </w:p>
        </w:tc>
        <w:tc>
          <w:tcPr>
            <w:tcW w:type="dxa" w:w="2808"/>
            <w:vAlign w:val="center"/>
          </w:tcPr>
          <w:p>
            <w:pPr>
              <w:jc w:val="left"/>
            </w:pPr>
            <w:r>
              <w:rPr>
                <w:rFonts w:ascii="Calibri" w:hAnsi="Calibri"/>
                <w:b w:val="0"/>
                <w:i w:val="0"/>
                <w:color w:val="2D2D2D"/>
                <w:sz w:val="19"/>
              </w:rPr>
              <w:t>Evaluate 1 integration (Qualys)</w:t>
            </w:r>
          </w:p>
        </w:tc>
        <w:tc>
          <w:tcPr>
            <w:tcW w:type="dxa" w:w="792"/>
            <w:vAlign w:val="center"/>
          </w:tcPr>
          <w:p>
            <w:pPr>
              <w:jc w:val="center"/>
            </w:pPr>
            <w:r>
              <w:rPr>
                <w:rFonts w:ascii="Calibri" w:hAnsi="Calibri"/>
                <w:b w:val="0"/>
                <w:i w:val="0"/>
                <w:color w:val="2D2D2D"/>
                <w:sz w:val="19"/>
              </w:rPr>
              <w:t>Jun 30</w:t>
            </w:r>
          </w:p>
        </w:tc>
        <w:tc>
          <w:tcPr>
            <w:tcW w:type="dxa" w:w="720"/>
            <w:shd w:val="clear" w:color="auto" w:fill="E08A00"/>
            <w:vAlign w:val="center"/>
          </w:tcPr>
          <w:p>
            <w:pPr>
              <w:jc w:val="center"/>
            </w:pPr>
            <w:r>
              <w:rPr>
                <w:rFonts w:ascii="Calibri" w:hAnsi="Calibri"/>
                <w:b/>
                <w:i w:val="0"/>
                <w:color w:val="FFFFFF"/>
                <w:sz w:val="20"/>
              </w:rPr>
              <w:t>A</w:t>
            </w:r>
          </w:p>
        </w:tc>
        <w:tc>
          <w:tcPr>
            <w:tcW w:type="dxa" w:w="4104"/>
            <w:vAlign w:val="center"/>
          </w:tcPr>
          <w:p>
            <w:pPr>
              <w:jc w:val="left"/>
            </w:pPr>
            <w:r>
              <w:rPr>
                <w:rFonts w:ascii="Calibri" w:hAnsi="Calibri"/>
                <w:b w:val="0"/>
                <w:i w:val="0"/>
                <w:color w:val="2D2D2D"/>
                <w:sz w:val="19"/>
              </w:rPr>
              <w:t>Requirements 1234585 Ready; build BLOCKED (1428703/704, Issue 1465952)</w:t>
            </w:r>
          </w:p>
        </w:tc>
      </w:tr>
    </w:tbl>
    <w:p>
      <w:pPr>
        <w:spacing w:after="160"/>
      </w:pPr>
      <w:r>
        <w:rPr>
          <w:rFonts w:ascii="Calibri" w:hAnsi="Calibri"/>
          <w:b/>
          <w:i w:val="0"/>
          <w:color w:val="2D2D2D"/>
          <w:sz w:val="22"/>
        </w:rPr>
        <w:t>Scorecard:</w:t>
      </w:r>
      <w:r>
        <w:rPr>
          <w:rFonts w:ascii="Calibri" w:hAnsi="Calibri"/>
          <w:b w:val="0"/>
          <w:i w:val="0"/>
          <w:color w:val="2D2D2D"/>
          <w:sz w:val="22"/>
        </w:rPr>
        <w:t xml:space="preserve"> 4 Green · 8 Amber · 4 Red · 1 n/a. The four reds are where acceptance is at risk: the </w:t>
      </w:r>
      <w:r>
        <w:rPr>
          <w:rFonts w:ascii="Calibri" w:hAnsi="Calibri"/>
          <w:b/>
          <w:i w:val="0"/>
          <w:color w:val="2D2D2D"/>
          <w:sz w:val="22"/>
        </w:rPr>
        <w:t>Databases data dictionary (G1)</w:t>
      </w:r>
      <w:r>
        <w:rPr>
          <w:rFonts w:ascii="Calibri" w:hAnsi="Calibri"/>
          <w:b w:val="0"/>
          <w:i w:val="0"/>
          <w:color w:val="2D2D2D"/>
          <w:sz w:val="22"/>
        </w:rPr>
        <w:t xml:space="preserve">, </w:t>
      </w:r>
      <w:r>
        <w:rPr>
          <w:rFonts w:ascii="Calibri" w:hAnsi="Calibri"/>
          <w:b/>
          <w:i w:val="0"/>
          <w:color w:val="2D2D2D"/>
          <w:sz w:val="22"/>
        </w:rPr>
        <w:t>90% coverage measurement for Computers and Servers (G2/G3)</w:t>
      </w:r>
      <w:r>
        <w:rPr>
          <w:rFonts w:ascii="Calibri" w:hAnsi="Calibri"/>
          <w:b w:val="0"/>
          <w:i w:val="0"/>
          <w:color w:val="2D2D2D"/>
          <w:sz w:val="22"/>
        </w:rPr>
        <w:t xml:space="preserve">, and </w:t>
      </w:r>
      <w:r>
        <w:rPr>
          <w:rFonts w:ascii="Calibri" w:hAnsi="Calibri"/>
          <w:b/>
          <w:i w:val="0"/>
          <w:color w:val="2D2D2D"/>
          <w:sz w:val="22"/>
        </w:rPr>
        <w:t>CCB evidence sitting under a feature marked Removed (1.5)</w:t>
      </w:r>
      <w:r>
        <w:rPr>
          <w:rFonts w:ascii="Calibri" w:hAnsi="Calibri"/>
          <w:b w:val="0"/>
          <w:i w:val="0"/>
          <w:color w:val="2D2D2D"/>
          <w:sz w:val="22"/>
        </w:rPr>
        <w:t>.</w:t>
      </w:r>
    </w:p>
    <w:p>
      <w:pPr>
        <w:spacing w:after="120"/>
      </w:pPr>
      <w:r>
        <w:rPr>
          <w:rFonts w:ascii="Calibri" w:hAnsi="Calibri"/>
          <w:b w:val="0"/>
          <w:i/>
          <w:color w:val="334455"/>
          <w:sz w:val="20"/>
        </w:rPr>
        <w:t>Also in scope, but not a holdback-gated CO5 deliverable: Service Mapping. It's contracted under a prior CO and shows up in CO5 only in the PO role description on p.4, not the deliverables table. (Amber) Maps are moving (~13 pts pointed through 2.3), but about 36 map tasks are stranded in 2.1/2.2 carryover and Waves 20–21 are empty.</w:t>
      </w:r>
    </w:p>
    <w:p>
      <w:pPr>
        <w:spacing w:before="280" w:after="120"/>
      </w:pPr>
      <w:r>
        <w:rPr>
          <w:rFonts w:ascii="Calibri" w:hAnsi="Calibri"/>
          <w:b/>
          <w:color w:val="1F3A5F"/>
          <w:sz w:val="30"/>
        </w:rPr>
        <w:t>What we need from leadership</w:t>
      </w:r>
    </w:p>
    <w:p>
      <w:pPr>
        <w:pStyle w:val="ListNumber"/>
        <w:spacing w:after="80"/>
      </w:pPr>
      <w:r>
        <w:rPr>
          <w:rFonts w:ascii="Calibri" w:hAnsi="Calibri"/>
          <w:b/>
          <w:i w:val="0"/>
          <w:color w:val="2D2D2D"/>
          <w:sz w:val="22"/>
        </w:rPr>
        <w:t>A change-order decision on the added work.</w:t>
      </w:r>
      <w:r>
        <w:rPr>
          <w:rFonts w:ascii="Calibri" w:hAnsi="Calibri"/>
          <w:b w:val="0"/>
          <w:i w:val="0"/>
          <w:color w:val="2D2D2D"/>
          <w:sz w:val="22"/>
        </w:rPr>
        <w:t xml:space="preserve"> Airlift (P0) and NowAssist are ~22 of the 24 out-of-scope points already spent through Sprint 2.3. CO5 Article 2 requires a written change order for scope changes, and right now this is being absorbed into a back half (Sprints 4–5) that's already at 100% capacity.</w:t>
      </w:r>
    </w:p>
    <w:p>
      <w:pPr>
        <w:pStyle w:val="ListNumber"/>
        <w:spacing w:after="80"/>
      </w:pPr>
      <w:r>
        <w:rPr>
          <w:rFonts w:ascii="Calibri" w:hAnsi="Calibri"/>
          <w:b/>
          <w:i w:val="0"/>
          <w:color w:val="2D2D2D"/>
          <w:sz w:val="22"/>
        </w:rPr>
        <w:t>Sign CO6 before July 1.</w:t>
      </w:r>
      <w:r>
        <w:rPr>
          <w:rFonts w:ascii="Calibri" w:hAnsi="Calibri"/>
          <w:b w:val="0"/>
          <w:i w:val="0"/>
          <w:color w:val="2D2D2D"/>
          <w:sz w:val="22"/>
        </w:rPr>
        <w:t xml:space="preserve"> CO6 re-baselines the at-risk CO5 items — Databases, 90% coverage, Qualys — to Jul 31 / Oct 30. If it isn't signed, the June 30 deadline and the $533,775 holdback stand with no relief.</w:t>
      </w:r>
    </w:p>
    <w:p>
      <w:pPr>
        <w:pStyle w:val="ListNumber"/>
        <w:spacing w:after="80"/>
      </w:pPr>
      <w:r>
        <w:rPr>
          <w:rFonts w:ascii="Calibri" w:hAnsi="Calibri"/>
          <w:b/>
          <w:i w:val="0"/>
          <w:color w:val="2D2D2D"/>
          <w:sz w:val="22"/>
        </w:rPr>
        <w:t>Close or re-home the three hard gaps:</w:t>
      </w:r>
      <w:r>
        <w:rPr>
          <w:rFonts w:ascii="Calibri" w:hAnsi="Calibri"/>
          <w:b w:val="0"/>
          <w:i w:val="0"/>
          <w:color w:val="2D2D2D"/>
          <w:sz w:val="22"/>
        </w:rPr>
        <w:t xml:space="preserve"> G1 (DB data dictionary) and G2 / G3 (coverage measurement). Either deliver them by 6/30 or move them into CO6.</w:t>
      </w:r>
    </w:p>
    <w:p>
      <w:pPr>
        <w:pStyle w:val="ListNumber"/>
        <w:spacing w:after="80"/>
      </w:pPr>
      <w:r>
        <w:rPr>
          <w:rFonts w:ascii="Calibri" w:hAnsi="Calibri"/>
          <w:b/>
          <w:i w:val="0"/>
          <w:color w:val="2D2D2D"/>
          <w:sz w:val="22"/>
        </w:rPr>
        <w:t>Fix CCB feature 1406668</w:t>
      </w:r>
      <w:r>
        <w:rPr>
          <w:rFonts w:ascii="Calibri" w:hAnsi="Calibri"/>
          <w:b w:val="0"/>
          <w:i w:val="0"/>
          <w:color w:val="2D2D2D"/>
          <w:sz w:val="22"/>
        </w:rPr>
        <w:t xml:space="preserve"> — un-Remove it or re-parent the stories — so the Deliverable 1.5 evidence isn't filed under a dead feature.</w:t>
      </w:r>
    </w:p>
    <w:p>
      <w:pPr>
        <w:pStyle w:val="ListNumber"/>
        <w:spacing w:after="80"/>
      </w:pPr>
      <w:r>
        <w:rPr>
          <w:rFonts w:ascii="Calibri" w:hAnsi="Calibri"/>
          <w:b/>
          <w:i w:val="0"/>
          <w:color w:val="2D2D2D"/>
          <w:sz w:val="22"/>
        </w:rPr>
        <w:t>A ruling on SOX story 1455827.</w:t>
      </w:r>
      <w:r>
        <w:rPr>
          <w:rFonts w:ascii="Calibri" w:hAnsi="Calibri"/>
          <w:b w:val="0"/>
          <w:i w:val="0"/>
          <w:color w:val="2D2D2D"/>
          <w:sz w:val="22"/>
        </w:rPr>
        <w:t xml:space="preserve"> It's in Iteration 2.5 right now, which falls after the 6/30 deadline.</w:t>
      </w:r>
    </w:p>
    <w:p>
      <w:pPr>
        <w:spacing w:before="280" w:after="120"/>
      </w:pPr>
      <w:r>
        <w:rPr>
          <w:rFonts w:ascii="Calibri" w:hAnsi="Calibri"/>
          <w:b/>
          <w:color w:val="1F3A5F"/>
          <w:sz w:val="24"/>
        </w:rPr>
        <w:t>Data provenance &amp; caveats</w:t>
      </w:r>
    </w:p>
    <w:p>
      <w:pPr>
        <w:pStyle w:val="ListBullet"/>
        <w:spacing w:after="80"/>
      </w:pPr>
      <w:r>
        <w:rPr>
          <w:rFonts w:ascii="Calibri" w:hAnsi="Calibri"/>
          <w:b/>
          <w:i w:val="0"/>
          <w:color w:val="2D2D2D"/>
          <w:sz w:val="20"/>
        </w:rPr>
        <w:t>Basis:</w:t>
      </w:r>
      <w:r>
        <w:rPr>
          <w:rFonts w:ascii="Calibri" w:hAnsi="Calibri"/>
          <w:b w:val="0"/>
          <w:i w:val="0"/>
          <w:color w:val="2D2D2D"/>
          <w:sz w:val="20"/>
        </w:rPr>
        <w:t xml:space="preserve"> the 6/23 ADO export, Iterations 2.1–2.3 only (2.4–2.6 haven't run). Story/spike count is the primary measure; points corroborate.</w:t>
      </w:r>
    </w:p>
    <w:p>
      <w:pPr>
        <w:pStyle w:val="ListBullet"/>
        <w:spacing w:after="80"/>
      </w:pPr>
      <w:r>
        <w:rPr>
          <w:rFonts w:ascii="Calibri" w:hAnsi="Calibri"/>
          <w:b/>
          <w:i w:val="0"/>
          <w:color w:val="2D2D2D"/>
          <w:sz w:val="20"/>
        </w:rPr>
        <w:t>Inconsistent point tracking (the key limitation):</w:t>
      </w:r>
      <w:r>
        <w:rPr>
          <w:rFonts w:ascii="Calibri" w:hAnsi="Calibri"/>
          <w:b w:val="0"/>
          <w:i w:val="0"/>
          <w:color w:val="2D2D2D"/>
          <w:sz w:val="20"/>
        </w:rPr>
        <w:t xml:space="preserve"> 29 of 39 user stories (74%) are pointed, spikes are tracked well, and tasks and features carry no points by design. Tasks are the largest category of work and nearly all of Service Mapping. That's why count, not points, is the primary basis.</w:t>
      </w:r>
    </w:p>
    <w:p>
      <w:pPr>
        <w:pStyle w:val="ListBullet"/>
        <w:spacing w:after="80"/>
      </w:pPr>
      <w:r>
        <w:rPr>
          <w:rFonts w:ascii="Calibri" w:hAnsi="Calibri"/>
          <w:b/>
          <w:i w:val="0"/>
          <w:color w:val="2D2D2D"/>
          <w:sz w:val="20"/>
        </w:rPr>
        <w:t>Airlift</w:t>
      </w:r>
      <w:r>
        <w:rPr>
          <w:rFonts w:ascii="Calibri" w:hAnsi="Calibri"/>
          <w:b w:val="0"/>
          <w:i w:val="0"/>
          <w:color w:val="2D2D2D"/>
          <w:sz w:val="20"/>
        </w:rPr>
        <w:t xml:space="preserve"> isn't pointed in ADO. Its 16 pts / 4 stories reflect the 2-resource Sprint-2.3 effort, not ADO values.</w:t>
      </w:r>
    </w:p>
    <w:p>
      <w:pPr>
        <w:pStyle w:val="ListBullet"/>
        <w:spacing w:after="80"/>
      </w:pPr>
      <w:r>
        <w:rPr>
          <w:rFonts w:ascii="Calibri" w:hAnsi="Calibri"/>
          <w:b/>
          <w:i w:val="0"/>
          <w:color w:val="2D2D2D"/>
          <w:sz w:val="20"/>
        </w:rPr>
        <w:t>These are floors, not ceilings.</w:t>
      </w:r>
      <w:r>
        <w:rPr>
          <w:rFonts w:ascii="Calibri" w:hAnsi="Calibri"/>
          <w:b w:val="0"/>
          <w:i w:val="0"/>
          <w:color w:val="2D2D2D"/>
          <w:sz w:val="20"/>
        </w:rPr>
        <w:t xml:space="preserve"> Out-of-scope leaves out the largely-unpointed Network Gear, NERC-CIP, and Upgrade Analysis; in-scope leaves out ~7 pts of 2.3 stories past the export slice. The real out-of-scope share is probably a little under 30%.</w:t>
      </w:r>
    </w:p>
    <w:p>
      <w:pPr>
        <w:pStyle w:val="ListBullet"/>
        <w:spacing w:after="80"/>
      </w:pPr>
      <w:r>
        <w:rPr>
          <w:rFonts w:ascii="Calibri" w:hAnsi="Calibri"/>
          <w:b/>
          <w:i w:val="0"/>
          <w:color w:val="2D2D2D"/>
          <w:sz w:val="20"/>
        </w:rPr>
        <w:t>Operational Monitoring</w:t>
      </w:r>
      <w:r>
        <w:rPr>
          <w:rFonts w:ascii="Calibri" w:hAnsi="Calibri"/>
          <w:b w:val="0"/>
          <w:i w:val="0"/>
          <w:color w:val="2D2D2D"/>
          <w:sz w:val="20"/>
        </w:rPr>
        <w:t xml:space="preserve"> (3 items / 3 pts) is flagged pending a ruling. If it's ruled out of scope, out-of-scope rises to ~35% by count / 36% by points.</w:t>
      </w:r>
    </w:p>
    <w:p>
      <w:pPr>
        <w:pStyle w:val="ListBullet"/>
        <w:spacing w:after="80"/>
      </w:pPr>
      <w:r>
        <w:rPr>
          <w:rFonts w:ascii="Calibri" w:hAnsi="Calibri"/>
          <w:b/>
          <w:i w:val="0"/>
          <w:color w:val="2D2D2D"/>
          <w:sz w:val="20"/>
        </w:rPr>
        <w:t>Service Mapping</w:t>
      </w:r>
      <w:r>
        <w:rPr>
          <w:rFonts w:ascii="Calibri" w:hAnsi="Calibri"/>
          <w:b w:val="0"/>
          <w:i w:val="0"/>
          <w:color w:val="2D2D2D"/>
          <w:sz w:val="20"/>
        </w:rPr>
        <w:t xml:space="preserve"> counts as in-scope committed work per your direction, but it's not one of CO5's three holdback-gated deliverables.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6"/>
      </w:rPr>
      <w:t>PPL CMDB-CSDM  |  PI-2  |  CO5 Alignment Brief — Jun 23,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