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EMPLOYEE ACCESSIBILITY STRESS TEST</w:t>
      </w:r>
    </w:p>
    <w:p>
      <w:r>
        <w:t>This fictional training document intentionally contains accessibility problems for testing. Do not distribute it as an accessible document.</w:t>
      </w:r>
    </w:p>
    <w:p>
      <w:r>
        <w:rPr>
          <w:b/>
        </w:rPr>
        <w:t>TRAINING REQUIREMENTS</w:t>
      </w:r>
    </w:p>
    <w:p>
      <w:r>
        <w:t>Complete orientation, review the employee handbook, and attend a safety briefing during your first week.</w:t>
      </w:r>
    </w:p>
    <w:p>
      <w:r>
        <w:rPr>
          <w:sz w:val="16"/>
        </w:rPr>
        <w:t>This important deadline is shown in very small text: complete orientation by Friday.</w:t>
      </w:r>
    </w:p>
    <w:p>
      <w:r>
        <w:rPr>
          <w:color w:val="CDCDCD"/>
        </w:rPr>
        <w:t>This instruction has low contrast: ask your supervisor if you need an accommodation.</w:t>
      </w:r>
    </w:p>
    <w:p>
      <w:r>
        <w:t>TRAINING PROGRESS</w:t>
      </w:r>
    </w:p>
    <w:p>
      <w:r>
        <w:t>The chart below shows completed sessions: Week 1 = 2; Week 2 = 4; Week 3 = 6.</w:t>
      </w:r>
    </w:p>
    <w:p>
      <w:r>
        <w:drawing>
          <wp:inline xmlns:a="http://schemas.openxmlformats.org/drawingml/2006/main" xmlns:pic="http://schemas.openxmlformats.org/drawingml/2006/picture">
            <wp:extent cx="4114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Orientation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Room 101</w:t>
            </w:r>
          </w:p>
        </w:tc>
      </w:tr>
      <w:tr>
        <w:tc>
          <w:tcPr>
            <w:tcW w:type="dxa" w:w="2880"/>
          </w:tcPr>
          <w:p>
            <w:r>
              <w:t>Safety briefing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Room 202</w:t>
            </w:r>
          </w:p>
        </w:tc>
      </w:tr>
      <w:tr>
        <w:tc>
          <w:tcPr>
            <w:tcW w:type="dxa" w:w="2880"/>
          </w:tcPr>
          <w:p>
            <w:r>
              <w:t>Handbook review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</w:tr>
    </w:tbl>
    <w:p>
      <w:pPr>
        <w:pStyle w:val="Heading3"/>
      </w:pPr>
      <w:r>
        <w:t>CONTACT DETAILS</w:t>
      </w:r>
    </w:p>
    <w:p>
      <w:r>
        <w:t xml:space="preserve">For more information, </w:t>
      </w:r>
      <w:hyperlink r:id="rId10">
        <w:r>
          <w:t>click here</w:t>
        </w:r>
      </w:hyperlink>
    </w:p>
    <w:p>
      <w:r>
        <w:t>STATUS LEGEND</w:t>
      </w:r>
    </w:p>
    <w:p>
      <w:r>
        <w:rPr>
          <w:color w:val="008000"/>
        </w:rPr>
        <w:t>Complete</w:t>
      </w:r>
    </w:p>
    <w:p>
      <w:r>
        <w:rPr>
          <w:color w:val="B40000"/>
        </w:rPr>
        <w:t>Incomplete</w:t>
      </w:r>
    </w:p>
    <w:p>
      <w:r>
        <w:t>DEPARTMENT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Training notes for all departments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Student services</w:t>
            </w:r>
          </w:p>
        </w:tc>
      </w:tr>
    </w:tbl>
    <w:p>
      <w:r>
        <w:rPr>
          <w:b/>
        </w:rPr>
        <w:t>CONTRAST CHALLENGES</w:t>
      </w:r>
    </w:p>
    <w:p>
      <w:r>
        <w:rPr>
          <w:color w:val="DDDDDD"/>
        </w:rPr>
        <w:t>Very light gray instruction: submit your timesheet on Friday.</w:t>
      </w:r>
    </w:p>
    <w:p>
      <w:r>
        <w:rPr>
          <w:color w:val="FFF2CC"/>
        </w:rPr>
        <w:t>Pale yellow instruction: check the emergency contact list.</w:t>
      </w:r>
    </w:p>
    <w:p>
      <w:r>
        <w:rPr>
          <w:color w:val="DDEBF7"/>
        </w:rPr>
        <w:t>Pale blue instruction: save a copy of your training record.</w:t>
      </w:r>
    </w:p>
    <w:p>
      <w:r>
        <w:rPr>
          <w:color w:val="FFFFFF"/>
        </w:rPr>
        <w:t>White text on a white page: this sentence should become visible.</w:t>
      </w:r>
    </w:p>
    <w:p>
      <w:pPr>
        <w:shd w:val="clear" w:fill="333333"/>
      </w:pPr>
      <w:r>
        <w:rPr>
          <w:color w:val="222222"/>
        </w:rPr>
        <w:t>Dark text on a dark paragraph background: review safety procedures.</w:t>
      </w:r>
    </w:p>
    <w:p>
      <w:r>
        <w:rPr>
          <w:color w:val="FFFFFF"/>
          <w:highlight w:val="yellow"/>
        </w:rPr>
        <w:t>White highlighted text: this sentence must remain readable.</w:t>
      </w:r>
    </w:p>
    <w:p>
      <w:r>
        <w:rPr>
          <w:sz w:val="14"/>
        </w:rPr>
        <w:t>Tiny legal notice: this fictional exercise contains no actual employee data.</w:t>
      </w:r>
    </w:p>
    <w:p>
      <w:r>
        <w:rPr>
          <w:sz w:val="18"/>
        </w:rPr>
        <w:t>Another small instruction: contact your supervisor for assistance.</w:t>
      </w:r>
    </w:p>
    <w:p>
      <w:r>
        <w:t>COLOR-ONLY INSTRUCTIONS</w:t>
      </w:r>
    </w:p>
    <w:p>
      <w:r>
        <w:t>Approve the green item and reject the red item. No status words explain the colors.</w:t>
      </w:r>
    </w:p>
    <w:p>
      <w:r>
        <w:rPr>
          <w:color w:val="008000"/>
        </w:rPr>
        <w:t>Request A</w:t>
      </w:r>
    </w:p>
    <w:p>
      <w:r>
        <w:rPr>
          <w:color w:val="C00000"/>
        </w:rPr>
        <w:t>Request B</w:t>
      </w:r>
    </w:p>
    <w:p>
      <w:r>
        <w:t>Follow the instructions in the box on the right, then select the round option. This instruction intentionally depends on visual position and shape.</w:t>
      </w:r>
    </w:p>
    <w:p>
      <w:r>
        <w:t>LISTS AND LANGUAGE</w:t>
      </w:r>
    </w:p>
    <w:p>
      <w:r>
        <w:t>1. Complete orientation.</w:t>
      </w:r>
    </w:p>
    <w:p>
      <w:r>
        <w:t>2. Read the handbook.</w:t>
      </w:r>
    </w:p>
    <w:p>
      <w:r>
        <w:t>3. Attend safety training.</w:t>
      </w:r>
    </w:p>
    <w:p>
      <w:r>
        <w:t>Veuillez contacter votre responsable pour obtenir de l’aide. This French passage has no French language tag.</w:t>
      </w:r>
    </w:p>
    <w:p>
      <w:r>
        <w:t>Ask HR about PTO, FMLA, and EAP. These abbreviations are intentionally unexplained.</w:t>
      </w:r>
    </w:p>
    <w:p>
      <w:pPr>
        <w:pStyle w:val="Heading4"/>
      </w:pPr>
      <w:r>
        <w:t>A DEEPLY NESTED SECTION WITHOUT PARENTS</w:t>
      </w:r>
    </w:p>
    <w:p>
      <w:r>
        <w:t>This section skips hierarchy levels and should be reported for review.</w:t>
      </w:r>
    </w:p>
    <w:p>
      <w:r>
        <w:t>LINK CHALLENGES</w:t>
      </w:r>
    </w:p>
    <w:p>
      <w:r>
        <w:t xml:space="preserve">Employee resource: </w:t>
      </w:r>
      <w:hyperlink r:id="rId10">
        <w:r>
          <w:rPr>
            <w:color w:val="D9E2F3"/>
          </w:rPr>
          <w:t>click here</w:t>
        </w:r>
      </w:hyperlink>
    </w:p>
    <w:p>
      <w:r>
        <w:t xml:space="preserve">Employee resource: </w:t>
      </w:r>
      <w:hyperlink r:id="rId10">
        <w:r>
          <w:rPr>
            <w:color w:val="D9E2F3"/>
          </w:rPr>
          <w:t>read more</w:t>
        </w:r>
      </w:hyperlink>
    </w:p>
    <w:p>
      <w:r>
        <w:t xml:space="preserve">Employee resource: </w:t>
      </w:r>
      <w:hyperlink r:id="rId10">
        <w:r>
          <w:rPr>
            <w:color w:val="D9E2F3"/>
          </w:rPr>
          <w:t>here</w:t>
        </w:r>
      </w:hyperlink>
    </w:p>
    <w:p>
      <w:r>
        <w:t>MORE TABLE 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color w:val="CCCCCC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color w:val="CCCCCC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color w:val="CCCCCC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color w:val="CCCCCC"/>
              </w:rPr>
              <w:t>Example employee A</w:t>
            </w:r>
          </w:p>
        </w:tc>
        <w:tc>
          <w:tcPr>
            <w:tcW w:type="dxa" w:w="2880"/>
            <w:shd w:val="clear" w:fill="222222"/>
          </w:tcPr>
          <w:p>
            <w:r>
              <w:rPr>
                <w:color w:val="CCCCCC"/>
              </w:rPr>
              <w:t>Orientation</w:t>
            </w:r>
          </w:p>
        </w:tc>
        <w:tc>
          <w:tcPr>
            <w:tcW w:type="dxa" w:w="2880"/>
          </w:tcPr>
          <w:p>
            <w:r>
              <w:rPr>
                <w:color w:val="CCCCCC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color w:val="CCCCCC"/>
              </w:rPr>
              <w:t>Example employee B</w:t>
            </w:r>
          </w:p>
        </w:tc>
        <w:tc>
          <w:tcPr>
            <w:tcW w:type="dxa" w:w="2880"/>
          </w:tcPr>
          <w:p>
            <w:r>
              <w:rPr>
                <w:color w:val="CCCCCC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color w:val="CCCCCC"/>
              </w:rPr>
              <w:t>Complete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Merged department label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Administration</w:t>
            </w:r>
          </w:p>
        </w:tc>
      </w:tr>
    </w:tbl>
    <w:p>
      <w:r>
        <w:t>IMAGE CHALLENGES</w:t>
      </w:r>
    </w:p>
    <w:p>
      <w:r>
        <w:drawing>
          <wp:inline xmlns:a="http://schemas.openxmlformats.org/drawingml/2006/main" xmlns:pic="http://schemas.openxmlformats.org/drawingml/2006/picture">
            <wp:extent cx="27432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unlabeled bar graphic above has no alternative text. For this exercise, values are Week 1: 2; Week 2: 4; Week 3: 6.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EEEEEE"/>
      </w:rPr>
      <w:t>Faint footer: test document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DDDDD"/>
      </w:rPr>
      <w:t>Faint header: fictional employee training exercise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