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20"/>
        <w:jc w:val="center"/>
      </w:pPr>
      <w:r>
        <w:rPr>
          <w:rFonts w:ascii="Arial" w:hAnsi="Arial"/>
          <w:b w:val="1"/>
          <w:bCs w:val="1"/>
          <w:outline w:val="0"/>
          <w:color w:val="141414"/>
          <w:spacing w:val="0"/>
          <w:sz w:val="32"/>
          <w:szCs w:val="32"/>
          <w:u w:color="141414"/>
          <w:rtl w:val="0"/>
          <w:lang w:val="de-DE"/>
          <w14:textFill>
            <w14:solidFill>
              <w14:srgbClr w14:val="141414"/>
            </w14:solidFill>
          </w14:textFill>
        </w:rPr>
        <w:t>GEOGRAPHIC FOOD DESERTS AS CARDIOVASCULAR RISK DRIVERS</w:t>
      </w:r>
    </w:p>
    <w:p>
      <w:pPr>
        <w:pStyle w:val="Body"/>
        <w:spacing w:after="240"/>
        <w:jc w:val="center"/>
      </w:pPr>
      <w:r>
        <w:rPr>
          <w:rFonts w:ascii="Georgia" w:hAnsi="Georgia"/>
          <w:i w:val="1"/>
          <w:iCs w:val="1"/>
          <w:outline w:val="0"/>
          <w:color w:val="141414"/>
          <w:spacing w:val="0"/>
          <w:sz w:val="25"/>
          <w:szCs w:val="25"/>
          <w:u w:color="141414"/>
          <w:rtl w:val="0"/>
          <w:lang w:val="en-US"/>
          <w14:textFill>
            <w14:solidFill>
              <w14:srgbClr w14:val="141414"/>
            </w14:solidFill>
          </w14:textFill>
        </w:rPr>
        <w:t>Mapping the Pathway from Food Insecurity to Maternal Cardiovascular Disease in Pregnant Women across Alabama</w:t>
      </w:r>
      <w:r>
        <w:rPr>
          <w:rFonts w:ascii="Georgia" w:hAnsi="Georgia" w:hint="default"/>
          <w:i w:val="1"/>
          <w:iCs w:val="1"/>
          <w:outline w:val="0"/>
          <w:color w:val="141414"/>
          <w:spacing w:val="0"/>
          <w:sz w:val="25"/>
          <w:szCs w:val="25"/>
          <w:u w:color="141414"/>
          <w:rtl w:val="0"/>
          <w:lang w:val="en-US"/>
          <w14:textFill>
            <w14:solidFill>
              <w14:srgbClr w14:val="141414"/>
            </w14:solidFill>
          </w14:textFill>
        </w:rPr>
        <w:t>’</w:t>
      </w:r>
      <w:r>
        <w:rPr>
          <w:rFonts w:ascii="Georgia" w:hAnsi="Georgia"/>
          <w:i w:val="1"/>
          <w:iCs w:val="1"/>
          <w:outline w:val="0"/>
          <w:color w:val="141414"/>
          <w:spacing w:val="0"/>
          <w:sz w:val="25"/>
          <w:szCs w:val="25"/>
          <w:u w:color="141414"/>
          <w:rtl w:val="0"/>
          <w:lang w:val="en-US"/>
          <w14:textFill>
            <w14:solidFill>
              <w14:srgbClr w14:val="141414"/>
            </w14:solidFill>
          </w14:textFill>
        </w:rPr>
        <w:t>s Black Belt Region</w:t>
      </w:r>
    </w:p>
    <w:p>
      <w:pPr>
        <w:pStyle w:val="Body"/>
        <w:spacing w:after="84"/>
        <w:jc w:val="center"/>
      </w:pPr>
      <w:r>
        <w:rPr>
          <w:rFonts w:ascii="Georgia" w:hAnsi="Georgia"/>
          <w:b w:val="1"/>
          <w:bCs w:val="1"/>
          <w:outline w:val="0"/>
          <w:color w:val="343434"/>
          <w:spacing w:val="0"/>
          <w:sz w:val="26"/>
          <w:szCs w:val="26"/>
          <w:u w:color="343434"/>
          <w:rtl w:val="0"/>
          <w:lang w:val="en-US"/>
          <w14:textFill>
            <w14:solidFill>
              <w14:srgbClr w14:val="343434"/>
            </w14:solidFill>
          </w14:textFill>
        </w:rPr>
        <w:t>Drexton Andrews, M.S. Occupational Therapy Student</w:t>
      </w:r>
    </w:p>
    <w:p>
      <w:pPr>
        <w:pStyle w:val="Body"/>
        <w:spacing w:after="84"/>
        <w:jc w:val="center"/>
      </w:pPr>
      <w:r>
        <w:rPr>
          <w:rFonts w:ascii="Georgia" w:hAnsi="Georgia"/>
          <w:outline w:val="0"/>
          <w:color w:val="343434"/>
          <w:spacing w:val="0"/>
          <w:sz w:val="26"/>
          <w:szCs w:val="26"/>
          <w:u w:color="343434"/>
          <w:rtl w:val="0"/>
          <w:lang w:val="en-US"/>
          <w14:textFill>
            <w14:solidFill>
              <w14:srgbClr w14:val="343434"/>
            </w14:solidFill>
          </w14:textFill>
        </w:rPr>
        <w:t xml:space="preserve">Research Center for Rural, Child, and Family Health Equity </w:t>
      </w:r>
      <w:r>
        <w:rPr>
          <w:rFonts w:ascii="Georgia" w:hAnsi="Georgia" w:hint="default"/>
          <w:outline w:val="0"/>
          <w:color w:val="343434"/>
          <w:spacing w:val="0"/>
          <w:sz w:val="26"/>
          <w:szCs w:val="26"/>
          <w:u w:color="343434"/>
          <w:rtl w:val="0"/>
          <w:lang w:val="en-US"/>
          <w14:textFill>
            <w14:solidFill>
              <w14:srgbClr w14:val="343434"/>
            </w14:solidFill>
          </w14:textFill>
        </w:rPr>
        <w:t xml:space="preserve">· </w:t>
      </w:r>
      <w:r>
        <w:rPr>
          <w:rFonts w:ascii="Georgia" w:hAnsi="Georgia"/>
          <w:outline w:val="0"/>
          <w:color w:val="343434"/>
          <w:spacing w:val="0"/>
          <w:sz w:val="26"/>
          <w:szCs w:val="26"/>
          <w:u w:color="343434"/>
          <w:rtl w:val="0"/>
          <w:lang w:val="nl-NL"/>
          <w14:textFill>
            <w14:solidFill>
              <w14:srgbClr w14:val="343434"/>
            </w14:solidFill>
          </w14:textFill>
        </w:rPr>
        <w:t xml:space="preserve">Tuskegee University </w:t>
      </w:r>
      <w:r>
        <w:rPr>
          <w:rFonts w:ascii="Georgia" w:hAnsi="Georgia" w:hint="default"/>
          <w:outline w:val="0"/>
          <w:color w:val="343434"/>
          <w:spacing w:val="0"/>
          <w:sz w:val="26"/>
          <w:szCs w:val="26"/>
          <w:u w:color="343434"/>
          <w:rtl w:val="0"/>
          <w:lang w:val="en-US"/>
          <w14:textFill>
            <w14:solidFill>
              <w14:srgbClr w14:val="343434"/>
            </w14:solidFill>
          </w14:textFill>
        </w:rPr>
        <w:t xml:space="preserve">· </w:t>
      </w:r>
      <w:r>
        <w:rPr>
          <w:rFonts w:ascii="Georgia" w:hAnsi="Georgia"/>
          <w:outline w:val="0"/>
          <w:color w:val="343434"/>
          <w:spacing w:val="0"/>
          <w:sz w:val="26"/>
          <w:szCs w:val="26"/>
          <w:u w:color="343434"/>
          <w:rtl w:val="0"/>
          <w:lang w:val="nl-NL"/>
          <w14:textFill>
            <w14:solidFill>
              <w14:srgbClr w14:val="343434"/>
            </w14:solidFill>
          </w14:textFill>
        </w:rPr>
        <w:t>Tuskegee, Alabama 36088</w:t>
      </w:r>
    </w:p>
    <w:p>
      <w:pPr>
        <w:pStyle w:val="Body"/>
        <w:spacing w:after="480"/>
        <w:jc w:val="center"/>
      </w:pPr>
      <w:r>
        <w:rPr>
          <w:rFonts w:ascii="Georgia" w:hAnsi="Georgia"/>
          <w:outline w:val="0"/>
          <w:color w:val="141414"/>
          <w:spacing w:val="0"/>
          <w:u w:color="141414"/>
          <w:rtl w:val="0"/>
          <w:lang w:val="en-US"/>
          <w14:textFill>
            <w14:solidFill>
              <w14:srgbClr w14:val="141414"/>
            </w14:solidFill>
          </w14:textFill>
        </w:rPr>
        <w:t>Funded by the Health Resources and Services Administration (HRSA)</w:t>
      </w:r>
      <w:r>
        <w:rPr>
          <w:rFonts w:ascii="Georgia" w:cs="Georgia" w:hAnsi="Georgia" w:eastAsia="Georgia"/>
          <w:outline w:val="0"/>
          <w:color w:val="141414"/>
          <w:spacing w:val="0"/>
          <w:u w:color="141414"/>
          <w14:textFill>
            <w14:solidFill>
              <w14:srgbClr w14:val="141414"/>
            </w14:solidFill>
          </w14:textFill>
        </w:rPr>
        <w:br w:type="textWrapping"/>
      </w:r>
      <w:r>
        <w:rPr>
          <w:rFonts w:ascii="Georgia" w:hAnsi="Georgia"/>
          <w:outline w:val="0"/>
          <w:color w:val="141414"/>
          <w:spacing w:val="0"/>
          <w:u w:color="141414"/>
          <w:rtl w:val="0"/>
          <w:lang w:val="en-US"/>
          <w14:textFill>
            <w14:solidFill>
              <w14:srgbClr w14:val="141414"/>
            </w14:solidFill>
          </w14:textFill>
        </w:rPr>
        <w:t xml:space="preserve">Rural Health Care Services Outreach Grant </w:t>
      </w:r>
      <w:r>
        <w:rPr>
          <w:rFonts w:ascii="Georgia" w:hAnsi="Georgia" w:hint="default"/>
          <w:outline w:val="0"/>
          <w:color w:val="141414"/>
          <w:spacing w:val="0"/>
          <w:u w:color="141414"/>
          <w:rtl w:val="0"/>
          <w:lang w:val="en-US"/>
          <w14:textFill>
            <w14:solidFill>
              <w14:srgbClr w14:val="141414"/>
            </w14:solidFill>
          </w14:textFill>
        </w:rPr>
        <w:t xml:space="preserve">· </w:t>
      </w:r>
      <w:r>
        <w:rPr>
          <w:rFonts w:ascii="Georgia" w:hAnsi="Georgia"/>
          <w:outline w:val="0"/>
          <w:color w:val="141414"/>
          <w:spacing w:val="0"/>
          <w:u w:color="141414"/>
          <w:rtl w:val="0"/>
          <w14:textFill>
            <w14:solidFill>
              <w14:srgbClr w14:val="141414"/>
            </w14:solidFill>
          </w14:textFill>
        </w:rPr>
        <w:t>2025</w:t>
      </w:r>
    </w:p>
    <w:p>
      <w:pPr>
        <w:pStyle w:val="Body"/>
        <w:spacing w:after="180"/>
        <w:jc w:val="both"/>
      </w:pPr>
      <w:r>
        <w:rPr>
          <w:rFonts w:ascii="Arial" w:hAnsi="Arial"/>
          <w:b w:val="1"/>
          <w:bCs w:val="1"/>
          <w:outline w:val="0"/>
          <w:color w:val="141414"/>
          <w:spacing w:val="0"/>
          <w:sz w:val="28"/>
          <w:szCs w:val="28"/>
          <w:u w:color="141414"/>
          <w:rtl w:val="0"/>
          <w:lang w:val="de-DE"/>
          <w14:textFill>
            <w14:solidFill>
              <w14:srgbClr w14:val="141414"/>
            </w14:solidFill>
          </w14:textFill>
        </w:rPr>
        <w:t>Abstract</w:t>
      </w:r>
    </w:p>
    <w:p>
      <w:pPr>
        <w:pStyle w:val="Body"/>
        <w:spacing w:after="180"/>
        <w:jc w:val="both"/>
      </w:pPr>
      <w:r>
        <w:rPr>
          <w:rFonts w:ascii="Arial" w:hAnsi="Arial"/>
          <w:b w:val="1"/>
          <w:bCs w:val="1"/>
          <w:outline w:val="0"/>
          <w:color w:val="141414"/>
          <w:spacing w:val="0"/>
          <w:sz w:val="28"/>
          <w:szCs w:val="28"/>
          <w:u w:color="141414"/>
          <w:rtl w:val="0"/>
          <w:lang w:val="en-US"/>
          <w14:textFill>
            <w14:solidFill>
              <w14:srgbClr w14:val="141414"/>
            </w14:solidFill>
          </w14:textFill>
        </w:rPr>
        <w:t>Background:</w:t>
      </w:r>
      <w:r>
        <w:rPr>
          <w:rFonts w:ascii="Georgia" w:hAnsi="Georgia"/>
          <w:outline w:val="0"/>
          <w:color w:val="141414"/>
          <w:spacing w:val="0"/>
          <w:sz w:val="28"/>
          <w:szCs w:val="28"/>
          <w:u w:color="141414"/>
          <w:rtl w:val="0"/>
          <w:lang w:val="en-US"/>
          <w14:textFill>
            <w14:solidFill>
              <w14:srgbClr w14:val="141414"/>
            </w14:solidFill>
          </w14:textFill>
        </w:rPr>
        <w:t xml:space="preserve"> Cardiovascular disease (CVD) remains the leading cause of pregnancy-related mortality in the United States, accounting for more than one-third of all maternal deaths. Geographic food deserts</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areas of concurrent low income and low access to nutritious food</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are hypothesized to be a structural driver of maternal CVD risk through nutritional, inflammatory, endothelial, and psychosocial pathways. Alabama</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s Black Belt region presents one of the most acute examples of overlapping food insecurity, maternal care absence, and adverse perinatal cardiovascular outcomes in the nation. Recent national studies further link maternity care deserts and pregnancy food insecurity to severe maternal and pregnancy-related outcomes, complementing county-level ecological evidence.</w:t>
      </w:r>
    </w:p>
    <w:p>
      <w:pPr>
        <w:pStyle w:val="Body"/>
        <w:spacing w:after="180"/>
        <w:jc w:val="both"/>
      </w:pPr>
      <w:r>
        <w:rPr>
          <w:rFonts w:ascii="Arial" w:hAnsi="Arial"/>
          <w:b w:val="1"/>
          <w:bCs w:val="1"/>
          <w:outline w:val="0"/>
          <w:color w:val="141414"/>
          <w:spacing w:val="0"/>
          <w:sz w:val="28"/>
          <w:szCs w:val="28"/>
          <w:u w:color="141414"/>
          <w:rtl w:val="0"/>
          <w:lang w:val="en-US"/>
          <w14:textFill>
            <w14:solidFill>
              <w14:srgbClr w14:val="141414"/>
            </w14:solidFill>
          </w14:textFill>
        </w:rPr>
        <w:t>Methods:</w:t>
      </w:r>
      <w:r>
        <w:rPr>
          <w:rFonts w:ascii="Georgia" w:hAnsi="Georgia"/>
          <w:outline w:val="0"/>
          <w:color w:val="141414"/>
          <w:spacing w:val="0"/>
          <w:sz w:val="28"/>
          <w:szCs w:val="28"/>
          <w:u w:color="141414"/>
          <w:rtl w:val="0"/>
          <w:lang w:val="en-US"/>
          <w14:textFill>
            <w14:solidFill>
              <w14:srgbClr w14:val="141414"/>
            </w14:solidFill>
          </w14:textFill>
        </w:rPr>
        <w:t xml:space="preserve"> Using the USDA Food Access Research Atlas (2023), Alabama Department of Public Health vital statistics (2020</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2023), the March of Dimes Maternity Care Desert Report (2024), and the American Community Survey (2019</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2023), we map food desert geography against maternal cardiovascular outcome indicators at the county level. Findings from a prior double desert analysis identifying 11 Alabama counties with co-occurring maternal care and food access deficits are integrated with an expanded pathophysiological framework. Recent peer-reviewed literature on maternity care deserts, pregnancy food insecurity, and distance-based access (2022</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pt-PT"/>
          <w14:textFill>
            <w14:solidFill>
              <w14:srgbClr w14:val="141414"/>
            </w14:solidFill>
          </w14:textFill>
        </w:rPr>
        <w:t>2025) contextualizes Alabama patterns.</w:t>
      </w:r>
    </w:p>
    <w:p>
      <w:pPr>
        <w:pStyle w:val="Body"/>
        <w:spacing w:after="180"/>
        <w:jc w:val="both"/>
      </w:pPr>
      <w:r>
        <w:rPr>
          <w:rFonts w:ascii="Arial" w:hAnsi="Arial"/>
          <w:b w:val="1"/>
          <w:bCs w:val="1"/>
          <w:outline w:val="0"/>
          <w:color w:val="141414"/>
          <w:spacing w:val="0"/>
          <w:sz w:val="28"/>
          <w:szCs w:val="28"/>
          <w:u w:color="141414"/>
          <w:rtl w:val="0"/>
          <w:lang w:val="en-US"/>
          <w14:textFill>
            <w14:solidFill>
              <w14:srgbClr w14:val="141414"/>
            </w14:solidFill>
          </w14:textFill>
        </w:rPr>
        <w:t>Results:</w:t>
      </w:r>
      <w:r>
        <w:rPr>
          <w:rFonts w:ascii="Georgia" w:hAnsi="Georgia"/>
          <w:outline w:val="0"/>
          <w:color w:val="141414"/>
          <w:spacing w:val="0"/>
          <w:sz w:val="28"/>
          <w:szCs w:val="28"/>
          <w:u w:color="141414"/>
          <w:rtl w:val="0"/>
          <w:lang w:val="en-US"/>
          <w14:textFill>
            <w14:solidFill>
              <w14:srgbClr w14:val="141414"/>
            </w14:solidFill>
          </w14:textFill>
        </w:rPr>
        <w:t xml:space="preserve"> Double desert counties exhibit hypertensive disorder rates averaging 24.7% of pregnancies</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nearly double the state average of 13.1%. Preterm birth rates of 18.3%, low birthweight rates of 14.7%, and inadequate prenatal care utilization of 22.4% are consistently elevated in food-and-care desert counties, consistent with a nutritionally driven CVD pathway. Dietary patterns in food desert communities</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characterized by high sodium, saturated fat, and ultra-processed food reliance and low fruit, vegetable, and omega-3 fatty acid intake</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are directly linked to endothelial dysfunction, oxidative stress, and systemic inflammation underlying both preeclampsia and gestational cardiovascular compromise.</w:t>
      </w:r>
    </w:p>
    <w:p>
      <w:pPr>
        <w:pStyle w:val="Body"/>
        <w:spacing w:after="180"/>
        <w:jc w:val="both"/>
      </w:pPr>
      <w:r>
        <w:rPr>
          <w:rFonts w:ascii="Arial" w:hAnsi="Arial"/>
          <w:b w:val="1"/>
          <w:bCs w:val="1"/>
          <w:outline w:val="0"/>
          <w:color w:val="141414"/>
          <w:spacing w:val="0"/>
          <w:sz w:val="28"/>
          <w:szCs w:val="28"/>
          <w:u w:color="141414"/>
          <w:rtl w:val="0"/>
          <w:lang w:val="fr-FR"/>
          <w14:textFill>
            <w14:solidFill>
              <w14:srgbClr w14:val="141414"/>
            </w14:solidFill>
          </w14:textFill>
        </w:rPr>
        <w:t>Conclusions:</w:t>
      </w:r>
      <w:r>
        <w:rPr>
          <w:rFonts w:ascii="Georgia" w:hAnsi="Georgia"/>
          <w:outline w:val="0"/>
          <w:color w:val="141414"/>
          <w:spacing w:val="0"/>
          <w:sz w:val="28"/>
          <w:szCs w:val="28"/>
          <w:u w:color="141414"/>
          <w:rtl w:val="0"/>
          <w:lang w:val="en-US"/>
          <w14:textFill>
            <w14:solidFill>
              <w14:srgbClr w14:val="141414"/>
            </w14:solidFill>
          </w14:textFill>
        </w:rPr>
        <w:t xml:space="preserve"> Addressing maternal CVD in Alabama</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s food deserts requires integrated interventions spanning mobile nutritional services, community health worker deployment, WIC and SNAP access expansion, prenatal dietary counseling, remote blood pressure monitoring, and Medicaid coverage reform. This research contributes to an evidence base for place-based, structurally informed maternal health policy funded through HRSA</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s rural health equity mandate.</w:t>
      </w:r>
    </w:p>
    <w:p>
      <w:pPr>
        <w:pStyle w:val="Body"/>
        <w:spacing w:after="180"/>
        <w:jc w:val="both"/>
      </w:pPr>
      <w:r>
        <w:rPr>
          <w:rFonts w:ascii="Arial" w:hAnsi="Arial"/>
          <w:b w:val="1"/>
          <w:bCs w:val="1"/>
          <w:outline w:val="0"/>
          <w:color w:val="343434"/>
          <w:spacing w:val="0"/>
          <w:sz w:val="25"/>
          <w:szCs w:val="25"/>
          <w:u w:color="343434"/>
          <w:rtl w:val="0"/>
          <w:lang w:val="en-US"/>
          <w14:textFill>
            <w14:solidFill>
              <w14:srgbClr w14:val="343434"/>
            </w14:solidFill>
          </w14:textFill>
        </w:rPr>
        <w:t>Keywords:</w:t>
      </w:r>
      <w:r>
        <w:rPr>
          <w:rFonts w:ascii="Georgia" w:hAnsi="Georgia"/>
          <w:outline w:val="0"/>
          <w:color w:val="343434"/>
          <w:spacing w:val="0"/>
          <w:sz w:val="25"/>
          <w:szCs w:val="25"/>
          <w:u w:color="343434"/>
          <w:rtl w:val="0"/>
          <w:lang w:val="en-US"/>
          <w14:textFill>
            <w14:solidFill>
              <w14:srgbClr w14:val="343434"/>
            </w14:solidFill>
          </w14:textFill>
        </w:rPr>
        <w:t xml:space="preserve"> food desert, cardiovascular disease, pregnancy, hypertensive disorders of pregnancy, preeclampsia, gestational hypertension, maternal health, Alabama, Black Belt, food insecurity, HRSA, rural health equity, endothelial dysfunction, ultra-processed food</w:t>
      </w:r>
    </w:p>
    <w:p>
      <w:pPr>
        <w:pStyle w:val="Body"/>
        <w:spacing w:after="180"/>
        <w:jc w:val="both"/>
      </w:pPr>
      <w:r>
        <w:rPr>
          <w:rFonts w:ascii="Arial" w:hAnsi="Arial"/>
          <w:b w:val="1"/>
          <w:bCs w:val="1"/>
          <w:outline w:val="0"/>
          <w:color w:val="141414"/>
          <w:spacing w:val="0"/>
          <w:sz w:val="28"/>
          <w:szCs w:val="28"/>
          <w:u w:color="141414"/>
          <w:rtl w:val="0"/>
          <w:lang w:val="fr-FR"/>
          <w14:textFill>
            <w14:solidFill>
              <w14:srgbClr w14:val="141414"/>
            </w14:solidFill>
          </w14:textFill>
        </w:rPr>
        <w:t>Objective:</w:t>
      </w:r>
      <w:r>
        <w:rPr>
          <w:rFonts w:ascii="Georgia" w:hAnsi="Georgia"/>
          <w:outline w:val="0"/>
          <w:color w:val="141414"/>
          <w:spacing w:val="0"/>
          <w:sz w:val="28"/>
          <w:szCs w:val="28"/>
          <w:u w:color="141414"/>
          <w:rtl w:val="0"/>
          <w:lang w:val="en-US"/>
          <w14:textFill>
            <w14:solidFill>
              <w14:srgbClr w14:val="141414"/>
            </w14:solidFill>
          </w14:textFill>
        </w:rPr>
        <w:t xml:space="preserve"> This paper provides an integrated geographic and biomedical analysis of the relationship between food desert status and maternal cardiovascular outcomes across Alabama</w:t>
      </w:r>
      <w:r>
        <w:rPr>
          <w:rFonts w:ascii="Georgia" w:hAnsi="Georgia" w:hint="default"/>
          <w:outline w:val="0"/>
          <w:color w:val="141414"/>
          <w:spacing w:val="0"/>
          <w:sz w:val="28"/>
          <w:szCs w:val="28"/>
          <w:u w:color="141414"/>
          <w:rtl w:val="0"/>
          <w:lang w:val="en-US"/>
          <w14:textFill>
            <w14:solidFill>
              <w14:srgbClr w14:val="141414"/>
            </w14:solidFill>
          </w14:textFill>
        </w:rPr>
        <w:t>’</w:t>
      </w:r>
      <w:r>
        <w:rPr>
          <w:rFonts w:ascii="Georgia" w:hAnsi="Georgia"/>
          <w:outline w:val="0"/>
          <w:color w:val="141414"/>
          <w:spacing w:val="0"/>
          <w:sz w:val="28"/>
          <w:szCs w:val="28"/>
          <w:u w:color="141414"/>
          <w:rtl w:val="0"/>
          <w:lang w:val="en-US"/>
          <w14:textFill>
            <w14:solidFill>
              <w14:srgbClr w14:val="141414"/>
            </w14:solidFill>
          </w14:textFill>
        </w:rPr>
        <w:t>s Black Belt counties, with a focus on hypertensive disorders of pregnancy (HDP), gestational diabetes, preterm birth, and long-term cardiovascular sequelae.</w:t>
      </w:r>
    </w:p>
    <w:p>
      <w:pPr>
        <w:pStyle w:val="Body"/>
        <w:spacing w:after="156"/>
        <w:jc w:val="center"/>
      </w:pPr>
      <w:r>
        <w:rPr>
          <w:rFonts w:ascii="Arial" w:hAnsi="Arial"/>
          <w:b w:val="1"/>
          <w:bCs w:val="1"/>
          <w:outline w:val="0"/>
          <w:color w:val="141414"/>
          <w:spacing w:val="0"/>
          <w:sz w:val="25"/>
          <w:szCs w:val="25"/>
          <w:u w:color="141414"/>
          <w:rtl w:val="0"/>
          <w:lang w:val="fr-FR"/>
          <w14:textFill>
            <w14:solidFill>
              <w14:srgbClr w14:val="141414"/>
            </w14:solidFill>
          </w14:textFill>
        </w:rPr>
        <w:t>References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Alabama Department of Public Health (ADPH). (2023). </w:t>
      </w:r>
      <w:r>
        <w:rPr>
          <w:rFonts w:ascii="Georgia" w:hAnsi="Georgia"/>
          <w:i w:val="1"/>
          <w:iCs w:val="1"/>
          <w:outline w:val="0"/>
          <w:color w:val="141414"/>
          <w:spacing w:val="0"/>
          <w:sz w:val="29"/>
          <w:szCs w:val="29"/>
          <w:u w:color="141414"/>
          <w:rtl w:val="0"/>
          <w:lang w:val="en-US"/>
          <w14:textFill>
            <w14:solidFill>
              <w14:srgbClr w14:val="141414"/>
            </w14:solidFill>
          </w14:textFill>
        </w:rPr>
        <w:t>Alabama maternal mortality review report, 2020</w:t>
      </w:r>
      <w:r>
        <w:rPr>
          <w:rFonts w:ascii="Georgia" w:hAnsi="Georgia" w:hint="default"/>
          <w:i w:val="1"/>
          <w:iCs w:val="1"/>
          <w:outline w:val="0"/>
          <w:color w:val="141414"/>
          <w:spacing w:val="0"/>
          <w:sz w:val="29"/>
          <w:szCs w:val="29"/>
          <w:u w:color="141414"/>
          <w:rtl w:val="0"/>
          <w:lang w:val="en-US"/>
          <w14:textFill>
            <w14:solidFill>
              <w14:srgbClr w14:val="141414"/>
            </w14:solidFill>
          </w14:textFill>
        </w:rPr>
        <w:t>–</w:t>
      </w:r>
      <w:r>
        <w:rPr>
          <w:rFonts w:ascii="Georgia" w:hAnsi="Georgia"/>
          <w:i w:val="1"/>
          <w:iCs w:val="1"/>
          <w:outline w:val="0"/>
          <w:color w:val="141414"/>
          <w:spacing w:val="0"/>
          <w:sz w:val="29"/>
          <w:szCs w:val="29"/>
          <w:u w:color="141414"/>
          <w:rtl w:val="0"/>
          <w:lang w:val="en-US"/>
          <w14:textFill>
            <w14:solidFill>
              <w14:srgbClr w14:val="141414"/>
            </w14:solidFill>
          </w14:textFill>
        </w:rPr>
        <w:t>2021</w:t>
      </w:r>
      <w:r>
        <w:rPr>
          <w:rFonts w:ascii="Georgia" w:hAnsi="Georgia"/>
          <w:outline w:val="0"/>
          <w:color w:val="141414"/>
          <w:spacing w:val="0"/>
          <w:sz w:val="29"/>
          <w:szCs w:val="29"/>
          <w:u w:color="141414"/>
          <w:rtl w:val="0"/>
          <w:lang w:val="en-US"/>
          <w14:textFill>
            <w14:solidFill>
              <w14:srgbClr w14:val="141414"/>
            </w14:solidFill>
          </w14:textFill>
        </w:rPr>
        <w:t>. Montgomery, AL: ADPH Bureau of Family Health Services.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Alabama Department of Public Health (ADPH). (2023). </w:t>
      </w:r>
      <w:r>
        <w:rPr>
          <w:rFonts w:ascii="Georgia" w:hAnsi="Georgia"/>
          <w:i w:val="1"/>
          <w:iCs w:val="1"/>
          <w:outline w:val="0"/>
          <w:color w:val="141414"/>
          <w:spacing w:val="0"/>
          <w:sz w:val="29"/>
          <w:szCs w:val="29"/>
          <w:u w:color="141414"/>
          <w:rtl w:val="0"/>
          <w:lang w:val="en-US"/>
          <w14:textFill>
            <w14:solidFill>
              <w14:srgbClr w14:val="141414"/>
            </w14:solidFill>
          </w14:textFill>
        </w:rPr>
        <w:t>Alabama vital statistics annual report, 2020</w:t>
      </w:r>
      <w:r>
        <w:rPr>
          <w:rFonts w:ascii="Georgia" w:hAnsi="Georgia" w:hint="default"/>
          <w:i w:val="1"/>
          <w:iCs w:val="1"/>
          <w:outline w:val="0"/>
          <w:color w:val="141414"/>
          <w:spacing w:val="0"/>
          <w:sz w:val="29"/>
          <w:szCs w:val="29"/>
          <w:u w:color="141414"/>
          <w:rtl w:val="0"/>
          <w:lang w:val="en-US"/>
          <w14:textFill>
            <w14:solidFill>
              <w14:srgbClr w14:val="141414"/>
            </w14:solidFill>
          </w14:textFill>
        </w:rPr>
        <w:t>–</w:t>
      </w:r>
      <w:r>
        <w:rPr>
          <w:rFonts w:ascii="Georgia" w:hAnsi="Georgia"/>
          <w:i w:val="1"/>
          <w:iCs w:val="1"/>
          <w:outline w:val="0"/>
          <w:color w:val="141414"/>
          <w:spacing w:val="0"/>
          <w:sz w:val="29"/>
          <w:szCs w:val="29"/>
          <w:u w:color="141414"/>
          <w:rtl w:val="0"/>
          <w14:textFill>
            <w14:solidFill>
              <w14:srgbClr w14:val="141414"/>
            </w14:solidFill>
          </w14:textFill>
        </w:rPr>
        <w:t>2022</w:t>
      </w:r>
      <w:r>
        <w:rPr>
          <w:rFonts w:ascii="Georgia" w:hAnsi="Georgia"/>
          <w:outline w:val="0"/>
          <w:color w:val="141414"/>
          <w:spacing w:val="0"/>
          <w:sz w:val="29"/>
          <w:szCs w:val="29"/>
          <w:u w:color="141414"/>
          <w:rtl w:val="0"/>
          <w:lang w:val="en-US"/>
          <w14:textFill>
            <w14:solidFill>
              <w14:srgbClr w14:val="141414"/>
            </w14:solidFill>
          </w14:textFill>
        </w:rPr>
        <w:t>. Montgomery, AL: ADPH Bureau of Health Statistics.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American Heart Association &amp; American College of Obstetricians and Gynecologists. (2018). Pregnancy and heart disease: Joint scientific statement. </w:t>
      </w:r>
      <w:r>
        <w:rPr>
          <w:rFonts w:ascii="Georgia" w:hAnsi="Georgia"/>
          <w:i w:val="1"/>
          <w:iCs w:val="1"/>
          <w:outline w:val="0"/>
          <w:color w:val="141414"/>
          <w:spacing w:val="0"/>
          <w:sz w:val="29"/>
          <w:szCs w:val="29"/>
          <w:u w:color="141414"/>
          <w:rtl w:val="0"/>
          <w:lang w:val="fr-FR"/>
          <w14:textFill>
            <w14:solidFill>
              <w14:srgbClr w14:val="141414"/>
            </w14:solidFill>
          </w14:textFill>
        </w:rPr>
        <w:t>Circulation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137</w:t>
      </w:r>
      <w:r>
        <w:rPr>
          <w:rFonts w:ascii="Georgia" w:hAnsi="Georgia"/>
          <w:outline w:val="0"/>
          <w:color w:val="141414"/>
          <w:spacing w:val="0"/>
          <w:sz w:val="29"/>
          <w:szCs w:val="29"/>
          <w:u w:color="141414"/>
          <w:rtl w:val="0"/>
          <w14:textFill>
            <w14:solidFill>
              <w14:srgbClr w14:val="141414"/>
            </w14:solidFill>
          </w14:textFill>
        </w:rPr>
        <w:t>(5), e1</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e32.</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Aris, I. M., Lin, P.-I. D., Wu, A. J., et al. (2024). Birth outcomes in relation to neighborhood food access and individual food insecurity during pregnancy in the Environmental Influences on Child Health Outcomes (ECHO)-wide cohort study. </w:t>
      </w:r>
      <w:r>
        <w:rPr>
          <w:rFonts w:ascii="Georgia" w:hAnsi="Georgia"/>
          <w:i w:val="1"/>
          <w:iCs w:val="1"/>
          <w:outline w:val="0"/>
          <w:color w:val="141414"/>
          <w:spacing w:val="0"/>
          <w:sz w:val="29"/>
          <w:szCs w:val="29"/>
          <w:u w:color="141414"/>
          <w:rtl w:val="0"/>
          <w:lang w:val="en-US"/>
          <w14:textFill>
            <w14:solidFill>
              <w14:srgbClr w14:val="141414"/>
            </w14:solidFill>
          </w14:textFill>
        </w:rPr>
        <w:t>American Journal of Clinical Nutrition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119</w:t>
      </w:r>
      <w:r>
        <w:rPr>
          <w:rFonts w:ascii="Georgia" w:hAnsi="Georgia"/>
          <w:outline w:val="0"/>
          <w:color w:val="141414"/>
          <w:spacing w:val="0"/>
          <w:sz w:val="29"/>
          <w:szCs w:val="29"/>
          <w:u w:color="141414"/>
          <w:rtl w:val="0"/>
          <w14:textFill>
            <w14:solidFill>
              <w14:srgbClr w14:val="141414"/>
            </w14:solidFill>
          </w14:textFill>
        </w:rPr>
        <w:t>(5), 1216</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1226.</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Atwani, R., Robbins, L., Saade, G., &amp; Kawakita, T. (2025). Association of maternity care deserts with maternal and pregnancy-related mortality. </w:t>
      </w:r>
      <w:r>
        <w:rPr>
          <w:rFonts w:ascii="Georgia" w:hAnsi="Georgia"/>
          <w:i w:val="1"/>
          <w:iCs w:val="1"/>
          <w:outline w:val="0"/>
          <w:color w:val="141414"/>
          <w:spacing w:val="0"/>
          <w:sz w:val="29"/>
          <w:szCs w:val="29"/>
          <w:u w:color="141414"/>
          <w:rtl w:val="0"/>
          <w:lang w:val="it-IT"/>
          <w14:textFill>
            <w14:solidFill>
              <w14:srgbClr w14:val="141414"/>
            </w14:solidFill>
          </w14:textFill>
        </w:rPr>
        <w:t>Obstetrics &amp; Gynecology</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146</w:t>
      </w:r>
      <w:r>
        <w:rPr>
          <w:rFonts w:ascii="Georgia" w:hAnsi="Georgia"/>
          <w:outline w:val="0"/>
          <w:color w:val="141414"/>
          <w:spacing w:val="0"/>
          <w:sz w:val="29"/>
          <w:szCs w:val="29"/>
          <w:u w:color="141414"/>
          <w:rtl w:val="0"/>
          <w14:textFill>
            <w14:solidFill>
              <w14:srgbClr w14:val="141414"/>
            </w14:solidFill>
          </w14:textFill>
        </w:rPr>
        <w:t>(2), 181</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188.</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Badon, S. E., et al. (2020). Sodium intake during pregnancy, but not other diet recommendations aimed at preventing cardiovascular disease, is positively related to risk of hypertensive disorders of pregnancy. </w:t>
      </w:r>
      <w:r>
        <w:rPr>
          <w:rFonts w:ascii="Georgia" w:hAnsi="Georgia"/>
          <w:i w:val="1"/>
          <w:iCs w:val="1"/>
          <w:outline w:val="0"/>
          <w:color w:val="141414"/>
          <w:spacing w:val="0"/>
          <w:sz w:val="29"/>
          <w:szCs w:val="29"/>
          <w:u w:color="141414"/>
          <w:rtl w:val="0"/>
          <w:lang w:val="en-US"/>
          <w14:textFill>
            <w14:solidFill>
              <w14:srgbClr w14:val="141414"/>
            </w14:solidFill>
          </w14:textFill>
        </w:rPr>
        <w:t>Journal of Nutrition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150</w:t>
      </w:r>
      <w:r>
        <w:rPr>
          <w:rFonts w:ascii="Georgia" w:hAnsi="Georgia"/>
          <w:outline w:val="0"/>
          <w:color w:val="141414"/>
          <w:spacing w:val="0"/>
          <w:sz w:val="29"/>
          <w:szCs w:val="29"/>
          <w:u w:color="141414"/>
          <w:rtl w:val="0"/>
          <w14:textFill>
            <w14:solidFill>
              <w14:srgbClr w14:val="141414"/>
            </w14:solidFill>
          </w14:textFill>
        </w:rPr>
        <w:t>(4), 726</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735.</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Bell, Z., Nguyen, G., Andreae, G., Scott, S., Sermin-Reed, L., Lake, A. A., &amp; Heslehurst, N. (2024). Associations between food insecurity in high-income countries and pregnancy outcomes: A systematic review and meta-analysis. </w:t>
      </w:r>
      <w:r>
        <w:rPr>
          <w:rFonts w:ascii="Georgia" w:hAnsi="Georgia"/>
          <w:i w:val="1"/>
          <w:iCs w:val="1"/>
          <w:outline w:val="0"/>
          <w:color w:val="141414"/>
          <w:spacing w:val="0"/>
          <w:sz w:val="29"/>
          <w:szCs w:val="29"/>
          <w:u w:color="141414"/>
          <w:rtl w:val="0"/>
          <w:lang w:val="it-IT"/>
          <w14:textFill>
            <w14:solidFill>
              <w14:srgbClr w14:val="141414"/>
            </w14:solidFill>
          </w14:textFill>
        </w:rPr>
        <w:t>PLoS Medicine</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21</w:t>
      </w:r>
      <w:r>
        <w:rPr>
          <w:rFonts w:ascii="Georgia" w:hAnsi="Georgia"/>
          <w:outline w:val="0"/>
          <w:color w:val="141414"/>
          <w:spacing w:val="0"/>
          <w:sz w:val="29"/>
          <w:szCs w:val="29"/>
          <w:u w:color="141414"/>
          <w:rtl w:val="0"/>
          <w14:textFill>
            <w14:solidFill>
              <w14:srgbClr w14:val="141414"/>
            </w14:solidFill>
          </w14:textFill>
        </w:rPr>
        <w:t>(9), e1004450.</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Coleman-Jensen, A., Rabbitt, M. P., Gregory, C. A., &amp; Singh, A. (2023). </w:t>
      </w:r>
      <w:r>
        <w:rPr>
          <w:rFonts w:ascii="Georgia" w:hAnsi="Georgia"/>
          <w:i w:val="1"/>
          <w:iCs w:val="1"/>
          <w:outline w:val="0"/>
          <w:color w:val="141414"/>
          <w:spacing w:val="0"/>
          <w:sz w:val="29"/>
          <w:szCs w:val="29"/>
          <w:u w:color="141414"/>
          <w:rtl w:val="0"/>
          <w:lang w:val="en-US"/>
          <w14:textFill>
            <w14:solidFill>
              <w14:srgbClr w14:val="141414"/>
            </w14:solidFill>
          </w14:textFill>
        </w:rPr>
        <w:t>Household food security in the United States in 2022</w:t>
      </w:r>
      <w:r>
        <w:rPr>
          <w:rFonts w:ascii="Georgia" w:hAnsi="Georgia"/>
          <w:outline w:val="0"/>
          <w:color w:val="141414"/>
          <w:spacing w:val="0"/>
          <w:sz w:val="29"/>
          <w:szCs w:val="29"/>
          <w:u w:color="141414"/>
          <w:rtl w:val="0"/>
          <w:lang w:val="en-US"/>
          <w14:textFill>
            <w14:solidFill>
              <w14:srgbClr w14:val="141414"/>
            </w14:solidFill>
          </w14:textFill>
        </w:rPr>
        <w:t xml:space="preserve"> (USDA Economic Research Report No. ERS-298). U.S. Department of Agriculture Economic Research Service.</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Dolin, C. D., Compher, C., &amp; Kim, E. (2020). Food security during pregnancy: Associations with birth outcomes and maternal weight gain. </w:t>
      </w:r>
      <w:r>
        <w:rPr>
          <w:rFonts w:ascii="Georgia" w:hAnsi="Georgia"/>
          <w:i w:val="1"/>
          <w:iCs w:val="1"/>
          <w:outline w:val="0"/>
          <w:color w:val="141414"/>
          <w:spacing w:val="0"/>
          <w:sz w:val="29"/>
          <w:szCs w:val="29"/>
          <w:u w:color="141414"/>
          <w:rtl w:val="0"/>
          <w:lang w:val="en-US"/>
          <w14:textFill>
            <w14:solidFill>
              <w14:srgbClr w14:val="141414"/>
            </w14:solidFill>
          </w14:textFill>
        </w:rPr>
        <w:t>American Journal of Perinatology</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38</w:t>
      </w:r>
      <w:r>
        <w:rPr>
          <w:rFonts w:ascii="Georgia" w:hAnsi="Georgia"/>
          <w:outline w:val="0"/>
          <w:color w:val="141414"/>
          <w:spacing w:val="0"/>
          <w:sz w:val="29"/>
          <w:szCs w:val="29"/>
          <w:u w:color="141414"/>
          <w:rtl w:val="0"/>
          <w14:textFill>
            <w14:solidFill>
              <w14:srgbClr w14:val="141414"/>
            </w14:solidFill>
          </w14:textFill>
        </w:rPr>
        <w:t>(S01), e95</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e101.</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Fleszar, L. G., et al. (2023). Trends in state-level maternal mortality by age, race/ethnicity, and cause of death in the United States. </w:t>
      </w:r>
      <w:r>
        <w:rPr>
          <w:rFonts w:ascii="Georgia" w:hAnsi="Georgia"/>
          <w:i w:val="1"/>
          <w:iCs w:val="1"/>
          <w:outline w:val="0"/>
          <w:color w:val="141414"/>
          <w:spacing w:val="0"/>
          <w:sz w:val="29"/>
          <w:szCs w:val="29"/>
          <w:u w:color="141414"/>
          <w:rtl w:val="0"/>
          <w:lang w:val="de-DE"/>
          <w14:textFill>
            <w14:solidFill>
              <w14:srgbClr w14:val="141414"/>
            </w14:solidFill>
          </w14:textFill>
        </w:rPr>
        <w:t>JAMA</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329</w:t>
      </w:r>
      <w:r>
        <w:rPr>
          <w:rFonts w:ascii="Georgia" w:hAnsi="Georgia"/>
          <w:outline w:val="0"/>
          <w:color w:val="141414"/>
          <w:spacing w:val="0"/>
          <w:sz w:val="29"/>
          <w:szCs w:val="29"/>
          <w:u w:color="141414"/>
          <w:rtl w:val="0"/>
          <w14:textFill>
            <w14:solidFill>
              <w14:srgbClr w14:val="141414"/>
            </w14:solidFill>
          </w14:textFill>
        </w:rPr>
        <w:t>(23), 2000</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2011.</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Kelli, H. M., et al. (2019). Living in food deserts and adverse cardiovascular outcomes in patients with cardiovascular disease. </w:t>
      </w:r>
      <w:r>
        <w:rPr>
          <w:rFonts w:ascii="Georgia" w:hAnsi="Georgia"/>
          <w:i w:val="1"/>
          <w:iCs w:val="1"/>
          <w:outline w:val="0"/>
          <w:color w:val="141414"/>
          <w:spacing w:val="0"/>
          <w:sz w:val="29"/>
          <w:szCs w:val="29"/>
          <w:u w:color="141414"/>
          <w:rtl w:val="0"/>
          <w:lang w:val="en-US"/>
          <w14:textFill>
            <w14:solidFill>
              <w14:srgbClr w14:val="141414"/>
            </w14:solidFill>
          </w14:textFill>
        </w:rPr>
        <w:t>Journal of the American Heart Association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8</w:t>
      </w:r>
      <w:r>
        <w:rPr>
          <w:rFonts w:ascii="Georgia" w:hAnsi="Georgia"/>
          <w:outline w:val="0"/>
          <w:color w:val="141414"/>
          <w:spacing w:val="0"/>
          <w:sz w:val="29"/>
          <w:szCs w:val="29"/>
          <w:u w:color="141414"/>
          <w:rtl w:val="0"/>
          <w:lang w:val="en-US"/>
          <w14:textFill>
            <w14:solidFill>
              <w14:srgbClr w14:val="141414"/>
            </w14:solidFill>
          </w14:textFill>
        </w:rPr>
        <w:t>(4), e010694.</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Luther, J., et al. (2021). Cardiovascular disease is the leading cause of pregnancy-related mortality in the United States. </w:t>
      </w:r>
      <w:r>
        <w:rPr>
          <w:rFonts w:ascii="Georgia" w:hAnsi="Georgia"/>
          <w:i w:val="1"/>
          <w:iCs w:val="1"/>
          <w:outline w:val="0"/>
          <w:color w:val="141414"/>
          <w:spacing w:val="0"/>
          <w:sz w:val="29"/>
          <w:szCs w:val="29"/>
          <w:u w:color="141414"/>
          <w:rtl w:val="0"/>
          <w:lang w:val="en-US"/>
          <w14:textFill>
            <w14:solidFill>
              <w14:srgbClr w14:val="141414"/>
            </w14:solidFill>
          </w14:textFill>
        </w:rPr>
        <w:t>Journal of the American College of Cardiology</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77</w:t>
      </w:r>
      <w:r>
        <w:rPr>
          <w:rFonts w:ascii="Georgia" w:hAnsi="Georgia"/>
          <w:outline w:val="0"/>
          <w:color w:val="141414"/>
          <w:spacing w:val="0"/>
          <w:sz w:val="29"/>
          <w:szCs w:val="29"/>
          <w:u w:color="141414"/>
          <w:rtl w:val="0"/>
          <w14:textFill>
            <w14:solidFill>
              <w14:srgbClr w14:val="141414"/>
            </w14:solidFill>
          </w14:textFill>
        </w:rPr>
        <w:t>(8), 1165</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1175.</w:t>
      </w:r>
    </w:p>
    <w:p>
      <w:pPr>
        <w:pStyle w:val="Body"/>
        <w:spacing w:after="120"/>
      </w:pPr>
      <w:r>
        <w:rPr>
          <w:rFonts w:ascii="Georgia" w:hAnsi="Georgia"/>
          <w:outline w:val="0"/>
          <w:color w:val="141414"/>
          <w:spacing w:val="0"/>
          <w:sz w:val="29"/>
          <w:szCs w:val="29"/>
          <w:u w:color="141414"/>
          <w:rtl w:val="0"/>
          <w:lang w:val="pt-PT"/>
          <w14:textFill>
            <w14:solidFill>
              <w14:srgbClr w14:val="141414"/>
            </w14:solidFill>
          </w14:textFill>
        </w:rPr>
        <w:t>Malham</w:t>
      </w:r>
      <w:r>
        <w:rPr>
          <w:rFonts w:ascii="Georgia" w:hAnsi="Georgia" w:hint="default"/>
          <w:outline w:val="0"/>
          <w:color w:val="141414"/>
          <w:spacing w:val="0"/>
          <w:sz w:val="29"/>
          <w:szCs w:val="29"/>
          <w:u w:color="141414"/>
          <w:rtl w:val="0"/>
          <w:lang w:val="en-US"/>
          <w14:textFill>
            <w14:solidFill>
              <w14:srgbClr w14:val="141414"/>
            </w14:solidFill>
          </w14:textFill>
        </w:rPr>
        <w:t>é</w:t>
      </w:r>
      <w:r>
        <w:rPr>
          <w:rFonts w:ascii="Georgia" w:hAnsi="Georgia"/>
          <w:outline w:val="0"/>
          <w:color w:val="141414"/>
          <w:spacing w:val="0"/>
          <w:sz w:val="29"/>
          <w:szCs w:val="29"/>
          <w:u w:color="141414"/>
          <w:rtl w:val="0"/>
          <w:lang w:val="en-US"/>
          <w14:textFill>
            <w14:solidFill>
              <w14:srgbClr w14:val="141414"/>
            </w14:solidFill>
          </w14:textFill>
        </w:rPr>
        <w:t xml:space="preserve">, I., et al. (2022). Cardiovascular severe maternal morbidity and mortality at delivery in the United States: A population-based study. </w:t>
      </w:r>
      <w:r>
        <w:rPr>
          <w:rFonts w:ascii="Georgia" w:hAnsi="Georgia"/>
          <w:i w:val="1"/>
          <w:iCs w:val="1"/>
          <w:outline w:val="0"/>
          <w:color w:val="141414"/>
          <w:spacing w:val="0"/>
          <w:sz w:val="29"/>
          <w:szCs w:val="29"/>
          <w:u w:color="141414"/>
          <w:rtl w:val="0"/>
          <w:lang w:val="en-US"/>
          <w14:textFill>
            <w14:solidFill>
              <w14:srgbClr w14:val="141414"/>
            </w14:solidFill>
          </w14:textFill>
        </w:rPr>
        <w:t>JACC: Advances</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w:t>
      </w:r>
      <w:r>
        <w:rPr>
          <w:rFonts w:ascii="Georgia" w:hAnsi="Georgia"/>
          <w:outline w:val="0"/>
          <w:color w:val="141414"/>
          <w:spacing w:val="0"/>
          <w:sz w:val="29"/>
          <w:szCs w:val="29"/>
          <w:u w:color="141414"/>
          <w:rtl w:val="0"/>
          <w14:textFill>
            <w14:solidFill>
              <w14:srgbClr w14:val="141414"/>
            </w14:solidFill>
          </w14:textFill>
        </w:rPr>
        <w:t>(2), 100121.</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March of Dimes. (2024). </w:t>
      </w:r>
      <w:r>
        <w:rPr>
          <w:rFonts w:ascii="Georgia" w:hAnsi="Georgia"/>
          <w:i w:val="1"/>
          <w:iCs w:val="1"/>
          <w:outline w:val="0"/>
          <w:color w:val="141414"/>
          <w:spacing w:val="0"/>
          <w:sz w:val="29"/>
          <w:szCs w:val="29"/>
          <w:u w:color="141414"/>
          <w:rtl w:val="0"/>
          <w:lang w:val="en-US"/>
          <w14:textFill>
            <w14:solidFill>
              <w14:srgbClr w14:val="141414"/>
            </w14:solidFill>
          </w14:textFill>
        </w:rPr>
        <w:t>Maternity care deserts report</w:t>
      </w:r>
      <w:r>
        <w:rPr>
          <w:rFonts w:ascii="Georgia" w:hAnsi="Georgia"/>
          <w:outline w:val="0"/>
          <w:color w:val="141414"/>
          <w:spacing w:val="0"/>
          <w:sz w:val="29"/>
          <w:szCs w:val="29"/>
          <w:u w:color="141414"/>
          <w:rtl w:val="0"/>
          <w:lang w:val="en-US"/>
          <w14:textFill>
            <w14:solidFill>
              <w14:srgbClr w14:val="141414"/>
            </w14:solidFill>
          </w14:textFill>
        </w:rPr>
        <w:t>. White Plains, NY: March of Dimes.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March of Dimes. (2025). </w:t>
      </w:r>
      <w:r>
        <w:rPr>
          <w:rFonts w:ascii="Georgia" w:hAnsi="Georgia"/>
          <w:i w:val="1"/>
          <w:iCs w:val="1"/>
          <w:outline w:val="0"/>
          <w:color w:val="141414"/>
          <w:spacing w:val="0"/>
          <w:sz w:val="29"/>
          <w:szCs w:val="29"/>
          <w:u w:color="141414"/>
          <w:rtl w:val="0"/>
          <w:lang w:val="en-US"/>
          <w14:textFill>
            <w14:solidFill>
              <w14:srgbClr w14:val="141414"/>
            </w14:solidFill>
          </w14:textFill>
        </w:rPr>
        <w:t>2025 Report card for Alabama</w:t>
      </w:r>
      <w:r>
        <w:rPr>
          <w:rFonts w:ascii="Georgia" w:hAnsi="Georgia"/>
          <w:outline w:val="0"/>
          <w:color w:val="141414"/>
          <w:spacing w:val="0"/>
          <w:sz w:val="29"/>
          <w:szCs w:val="29"/>
          <w:u w:color="141414"/>
          <w:rtl w:val="0"/>
          <w:lang w:val="en-US"/>
          <w14:textFill>
            <w14:solidFill>
              <w14:srgbClr w14:val="141414"/>
            </w14:solidFill>
          </w14:textFill>
        </w:rPr>
        <w:t>. PeriStats. White Plains, NY: March of Dimes.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Metz, T. D., et al. (2022). Trends in the incidence of new-onset hypertensive disorders of pregnancy among rural and urban areas in the United States, 2007 to 2019. </w:t>
      </w:r>
      <w:r>
        <w:rPr>
          <w:rFonts w:ascii="Georgia" w:hAnsi="Georgia"/>
          <w:i w:val="1"/>
          <w:iCs w:val="1"/>
          <w:outline w:val="0"/>
          <w:color w:val="141414"/>
          <w:spacing w:val="0"/>
          <w:sz w:val="29"/>
          <w:szCs w:val="29"/>
          <w:u w:color="141414"/>
          <w:rtl w:val="0"/>
          <w:lang w:val="en-US"/>
          <w14:textFill>
            <w14:solidFill>
              <w14:srgbClr w14:val="141414"/>
            </w14:solidFill>
          </w14:textFill>
        </w:rPr>
        <w:t>Journal of the American Heart Association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11</w:t>
      </w:r>
      <w:r>
        <w:rPr>
          <w:rFonts w:ascii="Georgia" w:hAnsi="Georgia"/>
          <w:outline w:val="0"/>
          <w:color w:val="141414"/>
          <w:spacing w:val="0"/>
          <w:sz w:val="29"/>
          <w:szCs w:val="29"/>
          <w:u w:color="141414"/>
          <w:rtl w:val="0"/>
          <w14:textFill>
            <w14:solidFill>
              <w14:srgbClr w14:val="141414"/>
            </w14:solidFill>
          </w14:textFill>
        </w:rPr>
        <w:t>(1), e023791.</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Morales, M. E., et al. (2021). Food insecurity and cardiovascular health in pregnant women: Results from the Food for Families program. </w:t>
      </w:r>
      <w:r>
        <w:rPr>
          <w:rFonts w:ascii="Georgia" w:hAnsi="Georgia"/>
          <w:i w:val="1"/>
          <w:iCs w:val="1"/>
          <w:outline w:val="0"/>
          <w:color w:val="141414"/>
          <w:spacing w:val="0"/>
          <w:sz w:val="29"/>
          <w:szCs w:val="29"/>
          <w:u w:color="141414"/>
          <w:rtl w:val="0"/>
          <w:lang w:val="en-US"/>
          <w14:textFill>
            <w14:solidFill>
              <w14:srgbClr w14:val="141414"/>
            </w14:solidFill>
          </w14:textFill>
        </w:rPr>
        <w:t>Journal of the American Heart Association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10</w:t>
      </w:r>
      <w:r>
        <w:rPr>
          <w:rFonts w:ascii="Georgia" w:hAnsi="Georgia"/>
          <w:outline w:val="0"/>
          <w:color w:val="141414"/>
          <w:spacing w:val="0"/>
          <w:sz w:val="29"/>
          <w:szCs w:val="29"/>
          <w:u w:color="141414"/>
          <w:rtl w:val="0"/>
          <w14:textFill>
            <w14:solidFill>
              <w14:srgbClr w14:val="141414"/>
            </w14:solidFill>
          </w14:textFill>
        </w:rPr>
        <w:t>(12), e019028.</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Olfatifar, M., et al. (2025). Relationship between food insecurity and the risk of pregnancy-induced hypertension: A prospective cohort study. </w:t>
      </w:r>
      <w:r>
        <w:rPr>
          <w:rFonts w:ascii="Georgia" w:hAnsi="Georgia"/>
          <w:i w:val="1"/>
          <w:iCs w:val="1"/>
          <w:outline w:val="0"/>
          <w:color w:val="141414"/>
          <w:spacing w:val="0"/>
          <w:sz w:val="29"/>
          <w:szCs w:val="29"/>
          <w:u w:color="141414"/>
          <w:rtl w:val="0"/>
          <w:lang w:val="en-US"/>
          <w14:textFill>
            <w14:solidFill>
              <w14:srgbClr w14:val="141414"/>
            </w14:solidFill>
          </w14:textFill>
        </w:rPr>
        <w:t>BMC Pregnancy and Childbirth</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25</w:t>
      </w:r>
      <w:r>
        <w:rPr>
          <w:rFonts w:ascii="Georgia" w:hAnsi="Georgia"/>
          <w:outline w:val="0"/>
          <w:color w:val="141414"/>
          <w:spacing w:val="0"/>
          <w:sz w:val="29"/>
          <w:szCs w:val="29"/>
          <w:u w:color="141414"/>
          <w:rtl w:val="0"/>
          <w14:textFill>
            <w14:solidFill>
              <w14:srgbClr w14:val="141414"/>
            </w14:solidFill>
          </w14:textFill>
        </w:rPr>
        <w:t>(1), 312.</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Rampersad, S., et al. (2024). The association of food security with hypertensive disorders of pregnancy: A National Health Interview Survey analysis. </w:t>
      </w:r>
      <w:r>
        <w:rPr>
          <w:rFonts w:ascii="Georgia" w:hAnsi="Georgia"/>
          <w:i w:val="1"/>
          <w:iCs w:val="1"/>
          <w:outline w:val="0"/>
          <w:color w:val="141414"/>
          <w:spacing w:val="0"/>
          <w:sz w:val="29"/>
          <w:szCs w:val="29"/>
          <w:u w:color="141414"/>
          <w:rtl w:val="0"/>
          <w:lang w:val="en-US"/>
          <w14:textFill>
            <w14:solidFill>
              <w14:srgbClr w14:val="141414"/>
            </w14:solidFill>
          </w14:textFill>
        </w:rPr>
        <w:t>Pregnancy Hypertension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36</w:t>
      </w:r>
      <w:r>
        <w:rPr>
          <w:rFonts w:ascii="Georgia" w:hAnsi="Georgia"/>
          <w:outline w:val="0"/>
          <w:color w:val="141414"/>
          <w:spacing w:val="0"/>
          <w:sz w:val="29"/>
          <w:szCs w:val="29"/>
          <w:u w:color="141414"/>
          <w:rtl w:val="0"/>
          <w:lang w:val="en-US"/>
          <w14:textFill>
            <w14:solidFill>
              <w14:srgbClr w14:val="141414"/>
            </w14:solidFill>
          </w14:textFill>
        </w:rPr>
        <w:t>, e1</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e9.</w:t>
      </w:r>
    </w:p>
    <w:p>
      <w:pPr>
        <w:pStyle w:val="Body"/>
        <w:spacing w:after="120"/>
      </w:pPr>
      <w:r>
        <w:rPr>
          <w:rFonts w:ascii="Georgia" w:hAnsi="Georgia"/>
          <w:outline w:val="0"/>
          <w:color w:val="141414"/>
          <w:spacing w:val="0"/>
          <w:sz w:val="29"/>
          <w:szCs w:val="29"/>
          <w:u w:color="141414"/>
          <w:rtl w:val="0"/>
          <w:lang w:val="it-IT"/>
          <w14:textFill>
            <w14:solidFill>
              <w14:srgbClr w14:val="141414"/>
            </w14:solidFill>
          </w14:textFill>
        </w:rPr>
        <w:t>Rico-Camp</w:t>
      </w:r>
      <w:r>
        <w:rPr>
          <w:rFonts w:ascii="Georgia" w:hAnsi="Georgia" w:hint="default"/>
          <w:outline w:val="0"/>
          <w:color w:val="141414"/>
          <w:spacing w:val="0"/>
          <w:sz w:val="29"/>
          <w:szCs w:val="29"/>
          <w:u w:color="141414"/>
          <w:rtl w:val="0"/>
          <w:lang w:val="en-US"/>
          <w14:textFill>
            <w14:solidFill>
              <w14:srgbClr w14:val="141414"/>
            </w14:solidFill>
          </w14:textFill>
        </w:rPr>
        <w:t>à</w:t>
      </w:r>
      <w:r>
        <w:rPr>
          <w:rFonts w:ascii="Georgia" w:hAnsi="Georgia"/>
          <w:outline w:val="0"/>
          <w:color w:val="141414"/>
          <w:spacing w:val="0"/>
          <w:sz w:val="29"/>
          <w:szCs w:val="29"/>
          <w:u w:color="141414"/>
          <w:rtl w:val="0"/>
          <w:lang w:val="en-US"/>
          <w14:textFill>
            <w14:solidFill>
              <w14:srgbClr w14:val="141414"/>
            </w14:solidFill>
          </w14:textFill>
        </w:rPr>
        <w:t xml:space="preserve">, A., et al. (2024). Ultra-processed foods and cardiovascular disease: Analysis of three large U.S. prospective cohorts and a systematic review and meta-analysis. </w:t>
      </w:r>
      <w:r>
        <w:rPr>
          <w:rFonts w:ascii="Georgia" w:hAnsi="Georgia"/>
          <w:i w:val="1"/>
          <w:iCs w:val="1"/>
          <w:outline w:val="0"/>
          <w:color w:val="141414"/>
          <w:spacing w:val="0"/>
          <w:sz w:val="29"/>
          <w:szCs w:val="29"/>
          <w:u w:color="141414"/>
          <w:rtl w:val="0"/>
          <w:lang w:val="en-US"/>
          <w14:textFill>
            <w14:solidFill>
              <w14:srgbClr w14:val="141414"/>
            </w14:solidFill>
          </w14:textFill>
        </w:rPr>
        <w:t xml:space="preserve">The Lancet Regional Health </w:t>
      </w:r>
      <w:r>
        <w:rPr>
          <w:rFonts w:ascii="Georgia" w:hAnsi="Georgia" w:hint="default"/>
          <w:i w:val="1"/>
          <w:iCs w:val="1"/>
          <w:outline w:val="0"/>
          <w:color w:val="141414"/>
          <w:spacing w:val="0"/>
          <w:sz w:val="29"/>
          <w:szCs w:val="29"/>
          <w:u w:color="141414"/>
          <w:rtl w:val="0"/>
          <w:lang w:val="en-US"/>
          <w14:textFill>
            <w14:solidFill>
              <w14:srgbClr w14:val="141414"/>
            </w14:solidFill>
          </w14:textFill>
        </w:rPr>
        <w:t xml:space="preserve">– </w:t>
      </w:r>
      <w:r>
        <w:rPr>
          <w:rFonts w:ascii="Georgia" w:hAnsi="Georgia"/>
          <w:i w:val="1"/>
          <w:iCs w:val="1"/>
          <w:outline w:val="0"/>
          <w:color w:val="141414"/>
          <w:spacing w:val="0"/>
          <w:sz w:val="29"/>
          <w:szCs w:val="29"/>
          <w:u w:color="141414"/>
          <w:rtl w:val="0"/>
          <w:lang w:val="pt-PT"/>
          <w14:textFill>
            <w14:solidFill>
              <w14:srgbClr w14:val="141414"/>
            </w14:solidFill>
          </w14:textFill>
        </w:rPr>
        <w:t>Americas</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38</w:t>
      </w:r>
      <w:r>
        <w:rPr>
          <w:rFonts w:ascii="Georgia" w:hAnsi="Georgia"/>
          <w:outline w:val="0"/>
          <w:color w:val="141414"/>
          <w:spacing w:val="0"/>
          <w:sz w:val="29"/>
          <w:szCs w:val="29"/>
          <w:u w:color="141414"/>
          <w:rtl w:val="0"/>
          <w14:textFill>
            <w14:solidFill>
              <w14:srgbClr w14:val="141414"/>
            </w14:solidFill>
          </w14:textFill>
        </w:rPr>
        <w:t>, 100881.</w:t>
      </w:r>
    </w:p>
    <w:p>
      <w:pPr>
        <w:pStyle w:val="Body"/>
        <w:spacing w:after="120"/>
      </w:pPr>
      <w:r>
        <w:rPr>
          <w:rFonts w:ascii="Georgia" w:hAnsi="Georgia"/>
          <w:outline w:val="0"/>
          <w:color w:val="141414"/>
          <w:spacing w:val="0"/>
          <w:sz w:val="29"/>
          <w:szCs w:val="29"/>
          <w:u w:color="141414"/>
          <w:rtl w:val="0"/>
          <w14:textFill>
            <w14:solidFill>
              <w14:srgbClr w14:val="141414"/>
            </w14:solidFill>
          </w14:textFill>
        </w:rPr>
        <w:t xml:space="preserve">Singer, M. (2009). </w:t>
      </w:r>
      <w:r>
        <w:rPr>
          <w:rFonts w:ascii="Georgia" w:hAnsi="Georgia"/>
          <w:i w:val="1"/>
          <w:iCs w:val="1"/>
          <w:outline w:val="0"/>
          <w:color w:val="141414"/>
          <w:spacing w:val="0"/>
          <w:sz w:val="29"/>
          <w:szCs w:val="29"/>
          <w:u w:color="141414"/>
          <w:rtl w:val="0"/>
          <w:lang w:val="en-US"/>
          <w14:textFill>
            <w14:solidFill>
              <w14:srgbClr w14:val="141414"/>
            </w14:solidFill>
          </w14:textFill>
        </w:rPr>
        <w:t>Introduction to syndemics: A critical systems approach to public and community health</w:t>
      </w:r>
      <w:r>
        <w:rPr>
          <w:rFonts w:ascii="Georgia" w:hAnsi="Georgia"/>
          <w:outline w:val="0"/>
          <w:color w:val="141414"/>
          <w:spacing w:val="0"/>
          <w:sz w:val="29"/>
          <w:szCs w:val="29"/>
          <w:u w:color="141414"/>
          <w:rtl w:val="0"/>
          <w14:textFill>
            <w14:solidFill>
              <w14:srgbClr w14:val="141414"/>
            </w14:solidFill>
          </w14:textFill>
        </w:rPr>
        <w:t>. Jossey-Bass.</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Sugg, M., Shakya, S., Ulrich, S., Schroeder Tyson, J., &amp; Runkle, J. (2025). Mapping maternity care deserts: Driving distance and health outcomes in North Carolina. </w:t>
      </w:r>
      <w:r>
        <w:rPr>
          <w:rFonts w:ascii="Georgia" w:hAnsi="Georgia"/>
          <w:i w:val="1"/>
          <w:iCs w:val="1"/>
          <w:outline w:val="0"/>
          <w:color w:val="141414"/>
          <w:spacing w:val="0"/>
          <w:sz w:val="29"/>
          <w:szCs w:val="29"/>
          <w:u w:color="141414"/>
          <w:rtl w:val="0"/>
          <w:lang w:val="en-US"/>
          <w14:textFill>
            <w14:solidFill>
              <w14:srgbClr w14:val="141414"/>
            </w14:solidFill>
          </w14:textFill>
        </w:rPr>
        <w:t>Journal of Rural Health</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41</w:t>
      </w:r>
      <w:r>
        <w:rPr>
          <w:rFonts w:ascii="Georgia" w:hAnsi="Georgia"/>
          <w:outline w:val="0"/>
          <w:color w:val="141414"/>
          <w:spacing w:val="0"/>
          <w:sz w:val="29"/>
          <w:szCs w:val="29"/>
          <w:u w:color="141414"/>
          <w:rtl w:val="0"/>
          <w14:textFill>
            <w14:solidFill>
              <w14:srgbClr w14:val="141414"/>
            </w14:solidFill>
          </w14:textFill>
        </w:rPr>
        <w:t>(2), e70020.</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Suresh, K., et al. (2024). Food environment quality and cardiovascular disease mortality in the United States: A county-level analysis from 2017 to 2019. </w:t>
      </w:r>
      <w:r>
        <w:rPr>
          <w:rFonts w:ascii="Georgia" w:hAnsi="Georgia"/>
          <w:i w:val="1"/>
          <w:iCs w:val="1"/>
          <w:outline w:val="0"/>
          <w:color w:val="141414"/>
          <w:spacing w:val="0"/>
          <w:sz w:val="29"/>
          <w:szCs w:val="29"/>
          <w:u w:color="141414"/>
          <w:rtl w:val="0"/>
          <w:lang w:val="en-US"/>
          <w14:textFill>
            <w14:solidFill>
              <w14:srgbClr w14:val="141414"/>
            </w14:solidFill>
          </w14:textFill>
        </w:rPr>
        <w:t>Journal of General Internal Medicine</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39</w:t>
      </w:r>
      <w:r>
        <w:rPr>
          <w:rFonts w:ascii="Georgia" w:hAnsi="Georgia"/>
          <w:outline w:val="0"/>
          <w:color w:val="141414"/>
          <w:spacing w:val="0"/>
          <w:sz w:val="29"/>
          <w:szCs w:val="29"/>
          <w:u w:color="141414"/>
          <w:rtl w:val="0"/>
          <w14:textFill>
            <w14:solidFill>
              <w14:srgbClr w14:val="141414"/>
            </w14:solidFill>
          </w14:textFill>
        </w:rPr>
        <w:t>(3), 441</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450.</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Tipton, M. J., et al. (2020). Food deserts linked to greater pregnancy morbidity. </w:t>
      </w:r>
      <w:r>
        <w:rPr>
          <w:rFonts w:ascii="Georgia" w:hAnsi="Georgia"/>
          <w:i w:val="1"/>
          <w:iCs w:val="1"/>
          <w:outline w:val="0"/>
          <w:color w:val="141414"/>
          <w:spacing w:val="0"/>
          <w:sz w:val="29"/>
          <w:szCs w:val="29"/>
          <w:u w:color="141414"/>
          <w:rtl w:val="0"/>
          <w:lang w:val="en-US"/>
          <w14:textFill>
            <w14:solidFill>
              <w14:srgbClr w14:val="141414"/>
            </w14:solidFill>
          </w14:textFill>
        </w:rPr>
        <w:t>American Journal of Obstetrics and Gynecology</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223</w:t>
      </w:r>
      <w:r>
        <w:rPr>
          <w:rFonts w:ascii="Georgia" w:hAnsi="Georgia"/>
          <w:outline w:val="0"/>
          <w:color w:val="141414"/>
          <w:spacing w:val="0"/>
          <w:sz w:val="29"/>
          <w:szCs w:val="29"/>
          <w:u w:color="141414"/>
          <w:rtl w:val="0"/>
          <w14:textFill>
            <w14:solidFill>
              <w14:srgbClr w14:val="141414"/>
            </w14:solidFill>
          </w14:textFill>
        </w:rPr>
        <w:t>(4), 589.e1</w:t>
      </w:r>
      <w:r>
        <w:rPr>
          <w:rFonts w:ascii="Georgia" w:hAnsi="Georgia" w:hint="default"/>
          <w:outline w:val="0"/>
          <w:color w:val="141414"/>
          <w:spacing w:val="0"/>
          <w:sz w:val="29"/>
          <w:szCs w:val="29"/>
          <w:u w:color="141414"/>
          <w:rtl w:val="0"/>
          <w:lang w:val="en-US"/>
          <w14:textFill>
            <w14:solidFill>
              <w14:srgbClr w14:val="141414"/>
            </w14:solidFill>
          </w14:textFill>
        </w:rPr>
        <w:t>–</w:t>
      </w:r>
      <w:r>
        <w:rPr>
          <w:rFonts w:ascii="Georgia" w:hAnsi="Georgia"/>
          <w:outline w:val="0"/>
          <w:color w:val="141414"/>
          <w:spacing w:val="0"/>
          <w:sz w:val="29"/>
          <w:szCs w:val="29"/>
          <w:u w:color="141414"/>
          <w:rtl w:val="0"/>
          <w14:textFill>
            <w14:solidFill>
              <w14:srgbClr w14:val="141414"/>
            </w14:solidFill>
          </w14:textFill>
        </w:rPr>
        <w:t>e7.</w:t>
      </w:r>
    </w:p>
    <w:p>
      <w:pPr>
        <w:pStyle w:val="Body"/>
        <w:spacing w:after="120"/>
      </w:pPr>
      <w:r>
        <w:rPr>
          <w:rFonts w:ascii="Georgia" w:hAnsi="Georgia"/>
          <w:outline w:val="0"/>
          <w:color w:val="141414"/>
          <w:spacing w:val="0"/>
          <w:sz w:val="29"/>
          <w:szCs w:val="29"/>
          <w:u w:color="141414"/>
          <w:rtl w:val="0"/>
          <w14:textFill>
            <w14:solidFill>
              <w14:srgbClr w14:val="141414"/>
            </w14:solidFill>
          </w14:textFill>
        </w:rPr>
        <w:t xml:space="preserve">U.S. Census Bureau. (2023). </w:t>
      </w:r>
      <w:r>
        <w:rPr>
          <w:rFonts w:ascii="Georgia" w:hAnsi="Georgia"/>
          <w:i w:val="1"/>
          <w:iCs w:val="1"/>
          <w:outline w:val="0"/>
          <w:color w:val="141414"/>
          <w:spacing w:val="0"/>
          <w:sz w:val="29"/>
          <w:szCs w:val="29"/>
          <w:u w:color="141414"/>
          <w:rtl w:val="0"/>
          <w:lang w:val="en-US"/>
          <w14:textFill>
            <w14:solidFill>
              <w14:srgbClr w14:val="141414"/>
            </w14:solidFill>
          </w14:textFill>
        </w:rPr>
        <w:t>American Community Survey 5-year estimates, 2019</w:t>
      </w:r>
      <w:r>
        <w:rPr>
          <w:rFonts w:ascii="Georgia" w:hAnsi="Georgia" w:hint="default"/>
          <w:i w:val="1"/>
          <w:iCs w:val="1"/>
          <w:outline w:val="0"/>
          <w:color w:val="141414"/>
          <w:spacing w:val="0"/>
          <w:sz w:val="29"/>
          <w:szCs w:val="29"/>
          <w:u w:color="141414"/>
          <w:rtl w:val="0"/>
          <w:lang w:val="en-US"/>
          <w14:textFill>
            <w14:solidFill>
              <w14:srgbClr w14:val="141414"/>
            </w14:solidFill>
          </w14:textFill>
        </w:rPr>
        <w:t>–</w:t>
      </w:r>
      <w:r>
        <w:rPr>
          <w:rFonts w:ascii="Georgia" w:hAnsi="Georgia"/>
          <w:i w:val="1"/>
          <w:iCs w:val="1"/>
          <w:outline w:val="0"/>
          <w:color w:val="141414"/>
          <w:spacing w:val="0"/>
          <w:sz w:val="29"/>
          <w:szCs w:val="29"/>
          <w:u w:color="141414"/>
          <w:rtl w:val="0"/>
          <w14:textFill>
            <w14:solidFill>
              <w14:srgbClr w14:val="141414"/>
            </w14:solidFill>
          </w14:textFill>
        </w:rPr>
        <w:t>2023</w:t>
      </w:r>
      <w:r>
        <w:rPr>
          <w:rFonts w:ascii="Georgia" w:hAnsi="Georgia"/>
          <w:outline w:val="0"/>
          <w:color w:val="141414"/>
          <w:spacing w:val="0"/>
          <w:sz w:val="29"/>
          <w:szCs w:val="29"/>
          <w:u w:color="141414"/>
          <w:rtl w:val="0"/>
          <w14:textFill>
            <w14:solidFill>
              <w14:srgbClr w14:val="141414"/>
            </w14:solidFill>
          </w14:textFill>
        </w:rPr>
        <w:t>. U.S. Census Bureau.</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U.S. Department of Agriculture Economic Research Service. (2023). </w:t>
      </w:r>
      <w:r>
        <w:rPr>
          <w:rFonts w:ascii="Georgia" w:hAnsi="Georgia"/>
          <w:i w:val="1"/>
          <w:iCs w:val="1"/>
          <w:outline w:val="0"/>
          <w:color w:val="141414"/>
          <w:spacing w:val="0"/>
          <w:sz w:val="29"/>
          <w:szCs w:val="29"/>
          <w:u w:color="141414"/>
          <w:rtl w:val="0"/>
          <w:lang w:val="en-US"/>
          <w14:textFill>
            <w14:solidFill>
              <w14:srgbClr w14:val="141414"/>
            </w14:solidFill>
          </w14:textFill>
        </w:rPr>
        <w:t>Food access research atlas</w:t>
      </w:r>
      <w:r>
        <w:rPr>
          <w:rFonts w:ascii="Georgia" w:hAnsi="Georgia"/>
          <w:outline w:val="0"/>
          <w:color w:val="141414"/>
          <w:spacing w:val="0"/>
          <w:sz w:val="29"/>
          <w:szCs w:val="29"/>
          <w:u w:color="141414"/>
          <w:rtl w:val="0"/>
          <w:lang w:val="en-US"/>
          <w14:textFill>
            <w14:solidFill>
              <w14:srgbClr w14:val="141414"/>
            </w14:solidFill>
          </w14:textFill>
        </w:rPr>
        <w:t>. U.S. Department of Agriculture Economic Research Service.</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U.S. Department of Health and Human Services, Health Resources and Services Administration. (2023). </w:t>
      </w:r>
      <w:r>
        <w:rPr>
          <w:rFonts w:ascii="Georgia" w:hAnsi="Georgia"/>
          <w:i w:val="1"/>
          <w:iCs w:val="1"/>
          <w:outline w:val="0"/>
          <w:color w:val="141414"/>
          <w:spacing w:val="0"/>
          <w:sz w:val="29"/>
          <w:szCs w:val="29"/>
          <w:u w:color="141414"/>
          <w:rtl w:val="0"/>
          <w:lang w:val="en-US"/>
          <w14:textFill>
            <w14:solidFill>
              <w14:srgbClr w14:val="141414"/>
            </w14:solidFill>
          </w14:textFill>
        </w:rPr>
        <w:t>Rural health care services outreach program</w:t>
      </w:r>
      <w:r>
        <w:rPr>
          <w:rFonts w:ascii="Georgia" w:hAnsi="Georgia"/>
          <w:outline w:val="0"/>
          <w:color w:val="141414"/>
          <w:spacing w:val="0"/>
          <w:sz w:val="29"/>
          <w:szCs w:val="29"/>
          <w:u w:color="141414"/>
          <w:rtl w:val="0"/>
          <w:lang w:val="en-US"/>
          <w14:textFill>
            <w14:solidFill>
              <w14:srgbClr w14:val="141414"/>
            </w14:solidFill>
          </w14:textFill>
        </w:rPr>
        <w:t>. Health Resources and Services Administration.</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Wang, X., et al. (2024). Impact of ultra-processed foods on cardiovascular diseases and cancer: Epidemiological and mechanistic insights. </w:t>
      </w:r>
      <w:r>
        <w:rPr>
          <w:rFonts w:ascii="Georgia" w:hAnsi="Georgia"/>
          <w:i w:val="1"/>
          <w:iCs w:val="1"/>
          <w:outline w:val="0"/>
          <w:color w:val="141414"/>
          <w:spacing w:val="0"/>
          <w:sz w:val="29"/>
          <w:szCs w:val="29"/>
          <w:u w:color="141414"/>
          <w:rtl w:val="0"/>
          <w:lang w:val="en-US"/>
          <w14:textFill>
            <w14:solidFill>
              <w14:srgbClr w14:val="141414"/>
            </w14:solidFill>
          </w14:textFill>
        </w:rPr>
        <w:t>Food and Chemical Toxicology</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186</w:t>
      </w:r>
      <w:r>
        <w:rPr>
          <w:rFonts w:ascii="Georgia" w:hAnsi="Georgia"/>
          <w:outline w:val="0"/>
          <w:color w:val="141414"/>
          <w:spacing w:val="0"/>
          <w:sz w:val="29"/>
          <w:szCs w:val="29"/>
          <w:u w:color="141414"/>
          <w:rtl w:val="0"/>
          <w14:textFill>
            <w14:solidFill>
              <w14:srgbClr w14:val="141414"/>
            </w14:solidFill>
          </w14:textFill>
        </w:rPr>
        <w:t>, 114578.</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Wu, Q., et al. (2023). Maternal nutritional imbalance during pregnancy and the development of fetal-origin cardiovascular diseases. </w:t>
      </w:r>
      <w:r>
        <w:rPr>
          <w:rFonts w:ascii="Georgia" w:hAnsi="Georgia"/>
          <w:i w:val="1"/>
          <w:iCs w:val="1"/>
          <w:outline w:val="0"/>
          <w:color w:val="141414"/>
          <w:spacing w:val="0"/>
          <w:sz w:val="29"/>
          <w:szCs w:val="29"/>
          <w:u w:color="141414"/>
          <w:rtl w:val="0"/>
          <w:lang w:val="de-DE"/>
          <w14:textFill>
            <w14:solidFill>
              <w14:srgbClr w14:val="141414"/>
            </w14:solidFill>
          </w14:textFill>
        </w:rPr>
        <w:t>Frontiers in Nutrition</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13</w:t>
      </w:r>
      <w:r>
        <w:rPr>
          <w:rFonts w:ascii="Georgia" w:hAnsi="Georgia"/>
          <w:outline w:val="0"/>
          <w:color w:val="141414"/>
          <w:spacing w:val="0"/>
          <w:sz w:val="29"/>
          <w:szCs w:val="29"/>
          <w:u w:color="141414"/>
          <w:rtl w:val="0"/>
          <w14:textFill>
            <w14:solidFill>
              <w14:srgbClr w14:val="141414"/>
            </w14:solidFill>
          </w14:textFill>
        </w:rPr>
        <w:t>, 1717069.</w:t>
      </w:r>
    </w:p>
    <w:p>
      <w:pPr>
        <w:pStyle w:val="Body"/>
        <w:spacing w:after="120"/>
      </w:pPr>
      <w:r>
        <w:rPr>
          <w:rFonts w:ascii="Georgia" w:hAnsi="Georgia"/>
          <w:outline w:val="0"/>
          <w:color w:val="141414"/>
          <w:spacing w:val="0"/>
          <w:sz w:val="29"/>
          <w:szCs w:val="29"/>
          <w:u w:color="141414"/>
          <w:rtl w:val="0"/>
          <w:lang w:val="en-US"/>
          <w14:textFill>
            <w14:solidFill>
              <w14:srgbClr w14:val="141414"/>
            </w14:solidFill>
          </w14:textFill>
        </w:rPr>
        <w:t xml:space="preserve">Zhu, Y., et al. (2021). Mechanisms of dietary sodium-induced impairments in endothelial function and potential countermeasures. </w:t>
      </w:r>
      <w:r>
        <w:rPr>
          <w:rFonts w:ascii="Georgia" w:hAnsi="Georgia"/>
          <w:i w:val="1"/>
          <w:iCs w:val="1"/>
          <w:outline w:val="0"/>
          <w:color w:val="141414"/>
          <w:spacing w:val="0"/>
          <w:sz w:val="29"/>
          <w:szCs w:val="29"/>
          <w:u w:color="141414"/>
          <w:rtl w:val="0"/>
          <w:lang w:val="en-US"/>
          <w14:textFill>
            <w14:solidFill>
              <w14:srgbClr w14:val="141414"/>
            </w14:solidFill>
          </w14:textFill>
        </w:rPr>
        <w:t>Nutrients</w:t>
      </w:r>
      <w:r>
        <w:rPr>
          <w:rFonts w:ascii="Georgia" w:hAnsi="Georgia"/>
          <w:outline w:val="0"/>
          <w:color w:val="141414"/>
          <w:spacing w:val="0"/>
          <w:sz w:val="29"/>
          <w:szCs w:val="29"/>
          <w:u w:color="141414"/>
          <w:rtl w:val="0"/>
          <w14:textFill>
            <w14:solidFill>
              <w14:srgbClr w14:val="141414"/>
            </w14:solidFill>
          </w14:textFill>
        </w:rPr>
        <w:t xml:space="preserve">, </w:t>
      </w:r>
      <w:r>
        <w:rPr>
          <w:rFonts w:ascii="Georgia" w:hAnsi="Georgia"/>
          <w:i w:val="1"/>
          <w:iCs w:val="1"/>
          <w:outline w:val="0"/>
          <w:color w:val="141414"/>
          <w:spacing w:val="0"/>
          <w:sz w:val="29"/>
          <w:szCs w:val="29"/>
          <w:u w:color="141414"/>
          <w:rtl w:val="0"/>
          <w14:textFill>
            <w14:solidFill>
              <w14:srgbClr w14:val="141414"/>
            </w14:solidFill>
          </w14:textFill>
        </w:rPr>
        <w:t>13</w:t>
      </w:r>
      <w:r>
        <w:rPr>
          <w:rFonts w:ascii="Georgia" w:hAnsi="Georgia"/>
          <w:outline w:val="0"/>
          <w:color w:val="141414"/>
          <w:spacing w:val="0"/>
          <w:sz w:val="29"/>
          <w:szCs w:val="29"/>
          <w:u w:color="141414"/>
          <w:rtl w:val="0"/>
          <w14:textFill>
            <w14:solidFill>
              <w14:srgbClr w14:val="141414"/>
            </w14:solidFill>
          </w14:textFill>
        </w:rPr>
        <w:t>(1), 270.</w:t>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Default Theme">
  <a:themeElements>
    <a:clrScheme name="Default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Default Theme">
      <a:majorFont>
        <a:latin typeface="Helvetica Neue"/>
        <a:ea typeface="Helvetica Neue"/>
        <a:cs typeface="Helvetica Neue"/>
      </a:majorFont>
      <a:minorFont>
        <a:latin typeface="Helvetica Neue"/>
        <a:ea typeface="Helvetica Neue"/>
        <a:cs typeface="Helvetica Neue"/>
      </a:minorFont>
    </a:fontScheme>
    <a:fmtScheme name="Default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