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4085" w14:textId="19FA94C8" w:rsidR="00637F29" w:rsidRDefault="00000000" w:rsidP="00637F29">
      <w:pPr>
        <w:pStyle w:val="Title"/>
      </w:pPr>
      <w:r>
        <w:t xml:space="preserve">P20 </w:t>
      </w:r>
      <w:r w:rsidR="00AB5BF6">
        <w:t>- D</w:t>
      </w:r>
      <w:r>
        <w:t xml:space="preserve">ata </w:t>
      </w:r>
      <w:r w:rsidR="00AB5BF6">
        <w:t>Infrastructure</w:t>
      </w:r>
      <w:r>
        <w:t xml:space="preserve"> </w:t>
      </w:r>
      <w:r w:rsidR="00A119B5">
        <w:t>Approach</w:t>
      </w:r>
    </w:p>
    <w:p w14:paraId="27B335E5" w14:textId="4B40C04E" w:rsidR="00637F29" w:rsidRDefault="003F56AC" w:rsidP="003F56AC">
      <w:pPr>
        <w:pStyle w:val="Heading1"/>
      </w:pPr>
      <w:r>
        <w:t>Request</w:t>
      </w:r>
    </w:p>
    <w:p w14:paraId="7A527B71" w14:textId="3FA465D0" w:rsidR="003F56AC" w:rsidRPr="003F56AC" w:rsidRDefault="004C156E" w:rsidP="003F56AC">
      <w:pPr>
        <w:pStyle w:val="Compact"/>
        <w:numPr>
          <w:ilvl w:val="0"/>
          <w:numId w:val="14"/>
        </w:numPr>
      </w:pPr>
      <w:r w:rsidRPr="004C156E">
        <w:rPr>
          <w:b/>
          <w:bCs/>
        </w:rPr>
        <w:t xml:space="preserve">Paragraph 1: </w:t>
      </w:r>
      <w:r w:rsidR="003F56AC" w:rsidRPr="003F56AC">
        <w:t>Overall description of data ecosystem (big picture; dream big – 1 paragraph)</w:t>
      </w:r>
    </w:p>
    <w:p w14:paraId="495695C9" w14:textId="1110563E" w:rsidR="003F56AC" w:rsidRPr="003F56AC" w:rsidRDefault="003F56AC" w:rsidP="003F56AC">
      <w:pPr>
        <w:pStyle w:val="Compact"/>
        <w:numPr>
          <w:ilvl w:val="0"/>
          <w:numId w:val="14"/>
        </w:numPr>
      </w:pPr>
      <w:r w:rsidRPr="003F56AC">
        <w:t>Description of backend infrastructure (2 paragraphs to describe data infrastructure)</w:t>
      </w:r>
    </w:p>
    <w:p w14:paraId="19BD240D" w14:textId="7B36B260" w:rsidR="003F56AC" w:rsidRPr="003F56AC" w:rsidRDefault="004C156E" w:rsidP="003F56AC">
      <w:pPr>
        <w:pStyle w:val="Compact"/>
        <w:numPr>
          <w:ilvl w:val="1"/>
          <w:numId w:val="14"/>
        </w:numPr>
      </w:pPr>
      <w:r w:rsidRPr="004C156E">
        <w:rPr>
          <w:b/>
          <w:bCs/>
        </w:rPr>
        <w:t xml:space="preserve">Paragraph </w:t>
      </w:r>
      <w:r>
        <w:rPr>
          <w:b/>
          <w:bCs/>
        </w:rPr>
        <w:t>2</w:t>
      </w:r>
      <w:r w:rsidR="003F56AC" w:rsidRPr="003F56AC">
        <w:t>: general data management</w:t>
      </w:r>
    </w:p>
    <w:p w14:paraId="081CCD02" w14:textId="29555EC1" w:rsidR="003F56AC" w:rsidRPr="003F56AC" w:rsidRDefault="004C156E" w:rsidP="003F56AC">
      <w:pPr>
        <w:pStyle w:val="Compact"/>
        <w:numPr>
          <w:ilvl w:val="1"/>
          <w:numId w:val="14"/>
        </w:numPr>
      </w:pPr>
      <w:r w:rsidRPr="004C156E">
        <w:rPr>
          <w:b/>
          <w:bCs/>
        </w:rPr>
        <w:t xml:space="preserve">Paragraph </w:t>
      </w:r>
      <w:proofErr w:type="gramStart"/>
      <w:r>
        <w:rPr>
          <w:b/>
          <w:bCs/>
        </w:rPr>
        <w:t>3</w:t>
      </w:r>
      <w:r w:rsidRPr="004C156E">
        <w:rPr>
          <w:b/>
          <w:bCs/>
        </w:rPr>
        <w:t>:</w:t>
      </w:r>
      <w:r w:rsidR="003F56AC" w:rsidRPr="003F56AC">
        <w:t>:</w:t>
      </w:r>
      <w:proofErr w:type="gramEnd"/>
      <w:r w:rsidR="003F56AC" w:rsidRPr="003F56AC">
        <w:t xml:space="preserve"> </w:t>
      </w:r>
      <w:proofErr w:type="spellStart"/>
      <w:r w:rsidR="003F56AC" w:rsidRPr="003F56AC">
        <w:t>dbt</w:t>
      </w:r>
      <w:proofErr w:type="spellEnd"/>
      <w:r w:rsidR="003F56AC" w:rsidRPr="003F56AC">
        <w:t xml:space="preserve"> style infrastructure (long paragraph)</w:t>
      </w:r>
    </w:p>
    <w:p w14:paraId="485F28F1" w14:textId="7F8D1348" w:rsidR="004C156E" w:rsidRDefault="003F56AC" w:rsidP="003F56AC">
      <w:pPr>
        <w:pStyle w:val="Compact"/>
        <w:numPr>
          <w:ilvl w:val="0"/>
          <w:numId w:val="14"/>
        </w:numPr>
      </w:pPr>
      <w:r w:rsidRPr="003F56AC">
        <w:t>Front end :</w:t>
      </w:r>
      <w:r w:rsidR="004C156E" w:rsidRPr="004C156E">
        <w:t xml:space="preserve"> </w:t>
      </w:r>
      <w:r w:rsidR="004C156E" w:rsidRPr="003F56AC">
        <w:t xml:space="preserve">1-2 paragraphs (think </w:t>
      </w:r>
      <w:proofErr w:type="spellStart"/>
      <w:r w:rsidR="004C156E" w:rsidRPr="003F56AC">
        <w:t>salurbal</w:t>
      </w:r>
      <w:proofErr w:type="spellEnd"/>
    </w:p>
    <w:p w14:paraId="53F187BD" w14:textId="08BC3C80" w:rsidR="003F56AC" w:rsidRPr="004C156E" w:rsidRDefault="004C156E" w:rsidP="004C156E">
      <w:pPr>
        <w:pStyle w:val="Compact"/>
        <w:numPr>
          <w:ilvl w:val="1"/>
          <w:numId w:val="14"/>
        </w:numPr>
      </w:pPr>
      <w:r w:rsidRPr="004C156E">
        <w:rPr>
          <w:b/>
          <w:bCs/>
        </w:rPr>
        <w:t xml:space="preserve">Paragraph </w:t>
      </w:r>
      <w:r>
        <w:rPr>
          <w:b/>
          <w:bCs/>
        </w:rPr>
        <w:t>4: Intro to approach, publications</w:t>
      </w:r>
    </w:p>
    <w:p w14:paraId="222DB9E5" w14:textId="29A9AB10" w:rsidR="004C156E" w:rsidRPr="003F56AC" w:rsidRDefault="004C156E" w:rsidP="004C156E">
      <w:pPr>
        <w:pStyle w:val="Compact"/>
        <w:numPr>
          <w:ilvl w:val="1"/>
          <w:numId w:val="14"/>
        </w:numPr>
      </w:pPr>
      <w:r w:rsidRPr="004C156E">
        <w:rPr>
          <w:b/>
          <w:bCs/>
        </w:rPr>
        <w:t xml:space="preserve">Paragraph </w:t>
      </w:r>
      <w:r>
        <w:rPr>
          <w:b/>
          <w:bCs/>
        </w:rPr>
        <w:t>5: front end</w:t>
      </w:r>
    </w:p>
    <w:p w14:paraId="262A81A0" w14:textId="07541849" w:rsidR="002C607C" w:rsidRDefault="003F56AC" w:rsidP="0092567E">
      <w:pPr>
        <w:pStyle w:val="Compact"/>
        <w:numPr>
          <w:ilvl w:val="0"/>
          <w:numId w:val="14"/>
        </w:numPr>
      </w:pPr>
      <w:r w:rsidRPr="003F56AC">
        <w:t xml:space="preserve">Integration with other products: Interactive viz products, code, papers, </w:t>
      </w:r>
      <w:proofErr w:type="gramStart"/>
      <w:r w:rsidRPr="003F56AC">
        <w:t>workshops</w:t>
      </w:r>
      <w:proofErr w:type="gramEnd"/>
      <w:r w:rsidRPr="003F56AC">
        <w:t xml:space="preserve"> or tutorials (SALURBAL 2 ideas)</w:t>
      </w:r>
    </w:p>
    <w:p w14:paraId="316FB1B1" w14:textId="7C79EF88" w:rsidR="002C607C" w:rsidRDefault="002C607C" w:rsidP="002C607C">
      <w:pPr>
        <w:pStyle w:val="Compact"/>
      </w:pPr>
    </w:p>
    <w:p w14:paraId="1EEF2202" w14:textId="42C5A050" w:rsidR="002C607C" w:rsidRDefault="002C607C" w:rsidP="00535799">
      <w:pPr>
        <w:pStyle w:val="Heading3"/>
      </w:pPr>
      <w:r>
        <w:t xml:space="preserve">Project Pipeline </w:t>
      </w:r>
      <w:proofErr w:type="spellStart"/>
      <w:r>
        <w:t>Schemati</w:t>
      </w:r>
      <w:proofErr w:type="spellEnd"/>
    </w:p>
    <w:p w14:paraId="12E554D4" w14:textId="77777777" w:rsidR="002C607C" w:rsidRDefault="002C607C" w:rsidP="002C607C">
      <w:pPr>
        <w:pStyle w:val="BodyText"/>
      </w:pPr>
    </w:p>
    <w:p w14:paraId="68ADF6F7" w14:textId="15F494B8" w:rsidR="002C607C" w:rsidRDefault="00535799" w:rsidP="002C607C">
      <w:pPr>
        <w:pStyle w:val="BodyText"/>
      </w:pPr>
      <w:r>
        <w:rPr>
          <w:noProof/>
        </w:rPr>
        <w:drawing>
          <wp:inline distT="0" distB="0" distL="0" distR="0" wp14:anchorId="4717EDDB" wp14:editId="5CD0417C">
            <wp:extent cx="5943600" cy="2076450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07CE" w14:textId="0C8CBF89" w:rsidR="002C607C" w:rsidRPr="002C607C" w:rsidRDefault="00535799" w:rsidP="002C607C">
      <w:pPr>
        <w:pStyle w:val="BodyText"/>
      </w:pPr>
      <w:r>
        <w:fldChar w:fldCharType="begin"/>
      </w:r>
      <w:r>
        <w:instrText xml:space="preserve"> INCLUDEPICTURE "https://files.slack.com/files-pri/T4QSXEW3E-F054TMQPGBX/p20_conceptual___platform_schematics_v2.png" \* MERGEFORMATINET </w:instrText>
      </w:r>
      <w:r>
        <w:fldChar w:fldCharType="separate"/>
      </w:r>
      <w:r>
        <w:pict w14:anchorId="1045FB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20 Conceptual + Platform Schematics V2.png" style="width:24pt;height:24pt"/>
        </w:pict>
      </w:r>
      <w:r>
        <w:fldChar w:fldCharType="end"/>
      </w:r>
      <w:r>
        <w:fldChar w:fldCharType="begin"/>
      </w:r>
      <w:r>
        <w:instrText xml:space="preserve"> INCLUDEPICTURE "https://files.slack.com/files-pri/T4QSXEW3E-F054TMQPGBX/p20_conceptual___platform_schematics_v2.png" \* MERGEFORMATINET </w:instrText>
      </w:r>
      <w:r>
        <w:fldChar w:fldCharType="separate"/>
      </w:r>
      <w:r>
        <w:pict w14:anchorId="247A8D55">
          <v:shape id="_x0000_i1026" type="#_x0000_t75" alt="P20 Conceptual + Platform Schematics V2.png" style="width:24pt;height:24pt"/>
        </w:pict>
      </w:r>
      <w:r>
        <w:fldChar w:fldCharType="end"/>
      </w:r>
    </w:p>
    <w:p w14:paraId="27B803C3" w14:textId="11CAADD6" w:rsidR="003F56AC" w:rsidRDefault="00637F29" w:rsidP="002C607C">
      <w:pPr>
        <w:pStyle w:val="Heading3"/>
      </w:pPr>
      <w:r>
        <w:t xml:space="preserve">Big </w:t>
      </w:r>
      <w:r w:rsidRPr="003F56AC">
        <w:t>Picture</w:t>
      </w:r>
    </w:p>
    <w:p w14:paraId="024013F7" w14:textId="5F767B06" w:rsidR="00EC6992" w:rsidRDefault="00DA168E" w:rsidP="00EC6992">
      <w:pPr>
        <w:pStyle w:val="BodyText"/>
      </w:pPr>
      <w:r w:rsidRPr="00DA168E">
        <w:t xml:space="preserve">Our data infrastructure pipeline is designed </w:t>
      </w:r>
      <w:r w:rsidR="0091025B">
        <w:t>to provide machine actionable</w:t>
      </w:r>
      <w:r w:rsidRPr="00DA168E">
        <w:t xml:space="preserve"> </w:t>
      </w:r>
      <w:r w:rsidR="0091025B">
        <w:t xml:space="preserve">(FAIR) </w:t>
      </w:r>
      <w:r w:rsidR="004C56F7">
        <w:t>data/metadata</w:t>
      </w:r>
      <w:r w:rsidRPr="00DA168E">
        <w:t xml:space="preserve"> </w:t>
      </w:r>
      <w:r w:rsidR="004C56F7">
        <w:t>throughout the entire life cycle of our research center, as shown in Figure 1</w:t>
      </w:r>
      <w:r w:rsidR="00C25BAB">
        <w:t>. At a</w:t>
      </w:r>
      <w:r>
        <w:t xml:space="preserve"> conceptual level</w:t>
      </w:r>
      <w:r w:rsidRPr="00DA168E">
        <w:t xml:space="preserve">, the pipeline is divided into </w:t>
      </w:r>
      <w:r w:rsidR="0054512F">
        <w:t>four</w:t>
      </w:r>
      <w:r w:rsidRPr="00DA168E">
        <w:t xml:space="preserve"> main stages: </w:t>
      </w:r>
      <w:r w:rsidR="0054512F">
        <w:t xml:space="preserve"> 1) Operationaliz</w:t>
      </w:r>
      <w:r w:rsidR="0030433D">
        <w:t>e</w:t>
      </w:r>
      <w:r w:rsidR="0054512F">
        <w:t xml:space="preserve">/Access the data/metadata 2) Understanding the data 3) Communicating our understandings and 4) integrating all of our </w:t>
      </w:r>
      <w:r w:rsidR="0030433D">
        <w:t>outputs to the</w:t>
      </w:r>
      <w:r w:rsidR="0054512F">
        <w:t xml:space="preserve"> larger global research community through the FAIR ecosystem. </w:t>
      </w:r>
      <w:r w:rsidR="004C56F7">
        <w:t>Each</w:t>
      </w:r>
      <w:r w:rsidR="0054512F">
        <w:t xml:space="preserve"> of these stages are </w:t>
      </w:r>
      <w:r w:rsidR="004C56F7">
        <w:t xml:space="preserve">crucial for our research </w:t>
      </w:r>
      <w:r w:rsidR="004C56F7">
        <w:lastRenderedPageBreak/>
        <w:t xml:space="preserve">center to deliver impactful outcomes; consequently, it is vital to have a well-designed data infrastructure plan that considers the entire </w:t>
      </w:r>
      <w:r w:rsidR="001C0C1D">
        <w:t>life cycle</w:t>
      </w:r>
      <w:r w:rsidR="004C56F7">
        <w:t xml:space="preserve">, or </w:t>
      </w:r>
      <w:r w:rsidR="0030433D">
        <w:t>full stack</w:t>
      </w:r>
      <w:r w:rsidR="004C56F7">
        <w:t>, of the research project</w:t>
      </w:r>
      <w:r w:rsidR="004B3408">
        <w:t xml:space="preserve">. </w:t>
      </w:r>
      <w:r w:rsidR="00EC6992">
        <w:t>Our approach towards implementation is that</w:t>
      </w:r>
      <w:r w:rsidR="004B3408">
        <w:t xml:space="preserve"> we </w:t>
      </w:r>
      <w:r w:rsidR="00EC6992">
        <w:t xml:space="preserve">complement traditional public research approaches with the robustness/reproducibility of </w:t>
      </w:r>
      <w:r w:rsidR="004B3408">
        <w:t>software engineering best practices</w:t>
      </w:r>
      <w:r w:rsidR="00EC6992">
        <w:t xml:space="preserve">, scalability of industry convergent data engineering workflows, </w:t>
      </w:r>
      <w:r w:rsidR="00EC6992" w:rsidRPr="00EC6992">
        <w:t xml:space="preserve">and the potential to engage audiences using modern, interactive web development </w:t>
      </w:r>
      <w:r w:rsidR="00EC6992">
        <w:t>frameworks</w:t>
      </w:r>
      <w:r w:rsidR="00EC6992" w:rsidRPr="00EC6992">
        <w:t>.</w:t>
      </w:r>
    </w:p>
    <w:p w14:paraId="2D368D4F" w14:textId="74B310A0" w:rsidR="0091025B" w:rsidRDefault="0091025B" w:rsidP="0091025B">
      <w:pPr>
        <w:pStyle w:val="Heading3"/>
      </w:pPr>
      <w:r>
        <w:t>Access</w:t>
      </w:r>
    </w:p>
    <w:p w14:paraId="1A68B0B2" w14:textId="33F0AD97" w:rsidR="002F218E" w:rsidRDefault="00F4525D" w:rsidP="002F218E">
      <w:pPr>
        <w:pStyle w:val="BodyText"/>
      </w:pPr>
      <w:r>
        <w:t xml:space="preserve">The Access stage is the foundation of our pipeline that is responsible for intake of raw data sources and operationalizing analysis/communications ready datasets. In addition to this overall goal, there are two key directives for this stage: </w:t>
      </w:r>
      <w:r w:rsidRPr="00726B09">
        <w:rPr>
          <w:b/>
          <w:bCs/>
        </w:rPr>
        <w:t>integrity</w:t>
      </w:r>
      <w:r>
        <w:t xml:space="preserve"> and </w:t>
      </w:r>
      <w:r w:rsidR="00A84DAC">
        <w:rPr>
          <w:b/>
          <w:bCs/>
        </w:rPr>
        <w:t>machine actionable data/metadata</w:t>
      </w:r>
      <w:r>
        <w:t>. To achieve integrity of the data we ensure original raw data sources are stored in historical storage (Drexel Servers or Azure Data Lakes*) which ar</w:t>
      </w:r>
      <w:r w:rsidR="00726B09">
        <w:t xml:space="preserve">e then used as inputs to the next step ETL. </w:t>
      </w:r>
      <w:r w:rsidR="00726B09" w:rsidRPr="00726B09">
        <w:t>ETL, or Extract, Transform, and Load, involves refining</w:t>
      </w:r>
      <w:r w:rsidR="00726B09">
        <w:t xml:space="preserve"> raw data</w:t>
      </w:r>
      <w:r w:rsidR="00726B09" w:rsidRPr="00726B09">
        <w:t xml:space="preserve"> and reformatting it to make it more understandable, and then storing it in a central location for further analysis and use by researchers</w:t>
      </w:r>
      <w:r w:rsidR="00726B09">
        <w:t xml:space="preserve">; the exact data-metadata schemas we will use will depend on data but will be informed by FAIR principles but importantly the implementation will leverage </w:t>
      </w:r>
      <w:r w:rsidR="00196376">
        <w:t>version control (Git/GitHub) to organize</w:t>
      </w:r>
      <w:r w:rsidR="00726B09">
        <w:t xml:space="preserve"> open source programming languages (R/Python) that integrate well with big data tools such as columnar storage (Parquet), cross-language big data structures (Apache Arrow) and </w:t>
      </w:r>
      <w:r w:rsidR="002F218E">
        <w:t>if needed</w:t>
      </w:r>
      <w:r w:rsidR="00726B09">
        <w:t xml:space="preserve"> big data infrastructure (Apache Spark). </w:t>
      </w:r>
    </w:p>
    <w:p w14:paraId="071DDE74" w14:textId="524E39DA" w:rsidR="0015560D" w:rsidRDefault="002F218E" w:rsidP="00196376">
      <w:pPr>
        <w:pStyle w:val="BodyText"/>
      </w:pPr>
      <w:r>
        <w:t xml:space="preserve">Now that we have operationalized our raw data as structured/machine-actionable/harmonized format we can begin transformations to operationalize datasets needed for analysis/communication;  to accomplish this we utilize an industry standard data warehousing framework Data Built Tool (DBT) </w:t>
      </w:r>
      <w:r w:rsidR="00196376">
        <w:t xml:space="preserve">to organize analytics </w:t>
      </w:r>
      <w:r>
        <w:t>focus databases (DuckDB, Azure Synapse) to ensure our data is stored,  managed</w:t>
      </w:r>
      <w:r w:rsidRPr="002F218E">
        <w:t>, and transformed efficiently to support the research center's objectives.</w:t>
      </w:r>
      <w:r>
        <w:t xml:space="preserve"> </w:t>
      </w:r>
      <w:r w:rsidR="00196376">
        <w:t xml:space="preserve">Briefly, DBT allows us to collaboratively modularize </w:t>
      </w:r>
      <w:r w:rsidR="00196376" w:rsidRPr="00196376">
        <w:t>different stages of data transformation, starting from the raw data and progressing through several steps until the final, easy-to-understand format</w:t>
      </w:r>
      <w:r w:rsidR="00196376">
        <w:t xml:space="preserve"> while providing highly accessible documentation for each step. </w:t>
      </w:r>
      <w:r w:rsidR="003A6997">
        <w:t>T</w:t>
      </w:r>
      <w:r w:rsidR="00196376">
        <w:t xml:space="preserve">his organized process and accessible documentation allows us to effectively handle both scale and complexity of big data transformations but also promote </w:t>
      </w:r>
      <w:proofErr w:type="gramStart"/>
      <w:r w:rsidR="00196376">
        <w:t xml:space="preserve">the </w:t>
      </w:r>
      <w:r w:rsidR="00511E77">
        <w:t>transparency</w:t>
      </w:r>
      <w:proofErr w:type="gramEnd"/>
      <w:r w:rsidR="00196376">
        <w:t>/</w:t>
      </w:r>
      <w:r w:rsidR="00511E77">
        <w:t>accountability</w:t>
      </w:r>
      <w:r w:rsidR="00196376">
        <w:t xml:space="preserve"> through the transformation process.</w:t>
      </w:r>
      <w:r w:rsidR="0015560D">
        <w:t xml:space="preserve"> </w:t>
      </w:r>
      <w:r w:rsidR="00196376">
        <w:t xml:space="preserve">Importantly, both our ETL and </w:t>
      </w:r>
      <w:r w:rsidR="00511E77">
        <w:t>Data warehousing</w:t>
      </w:r>
      <w:r w:rsidR="00196376">
        <w:t>/</w:t>
      </w:r>
      <w:r>
        <w:t>DBT</w:t>
      </w:r>
      <w:r w:rsidR="00196376">
        <w:t xml:space="preserve"> will be under</w:t>
      </w:r>
      <w:r>
        <w:t xml:space="preserve"> version control for reproducibility</w:t>
      </w:r>
      <w:r w:rsidR="00196376">
        <w:t xml:space="preserve">/integrity. Taken together with historical storage, we </w:t>
      </w:r>
      <w:r w:rsidR="003A6997">
        <w:t xml:space="preserve">can </w:t>
      </w:r>
      <w:r w:rsidR="00511E77">
        <w:t>guarantee</w:t>
      </w:r>
      <w:r w:rsidR="003A6997">
        <w:t xml:space="preserve"> not just the </w:t>
      </w:r>
      <w:r w:rsidR="00511E77">
        <w:t>integrity</w:t>
      </w:r>
      <w:r w:rsidR="003A6997">
        <w:t xml:space="preserve"> of our data but also </w:t>
      </w:r>
      <w:r w:rsidR="00511E77">
        <w:t>accessibility</w:t>
      </w:r>
      <w:r w:rsidR="003A6997">
        <w:t>.</w:t>
      </w:r>
      <w:r w:rsidR="00196376">
        <w:t xml:space="preserve"> </w:t>
      </w:r>
    </w:p>
    <w:p w14:paraId="797840E2" w14:textId="0CA8E2CB" w:rsidR="00196376" w:rsidRDefault="0015560D" w:rsidP="00196376">
      <w:pPr>
        <w:pStyle w:val="BodyText"/>
      </w:pPr>
      <w:r>
        <w:t xml:space="preserve">Transition: Although the more data engineering methods/tools mentioned so far may </w:t>
      </w:r>
      <w:r w:rsidRPr="0015560D">
        <w:t>be outside the scope of most traditional public health teams</w:t>
      </w:r>
      <w:r>
        <w:t>, they are vital to handle</w:t>
      </w:r>
      <w:r w:rsidRPr="0015560D">
        <w:t xml:space="preserve"> </w:t>
      </w:r>
      <w:r>
        <w:t>the</w:t>
      </w:r>
      <w:r w:rsidRPr="0015560D">
        <w:t xml:space="preserve"> increasing complexity and scale of data in public health research necessitate more advanced and specialized tools for efficient management and analysis.</w:t>
      </w:r>
      <w:r>
        <w:t xml:space="preserve"> </w:t>
      </w:r>
      <w:proofErr w:type="gramStart"/>
      <w:r w:rsidR="00F9279D">
        <w:t>So</w:t>
      </w:r>
      <w:proofErr w:type="gramEnd"/>
      <w:r w:rsidR="00F9279D">
        <w:t xml:space="preserve"> one key aspect of the Data access component is to make the final data warehouse items available to </w:t>
      </w:r>
      <w:r w:rsidR="00511E77">
        <w:t>researchers</w:t>
      </w:r>
      <w:r w:rsidR="00F9279D">
        <w:t xml:space="preserve"> in a diverse set of formats (.parquet, .sas7bday, .dta) to facilitate </w:t>
      </w:r>
      <w:r w:rsidR="00511E77">
        <w:t>interoperability</w:t>
      </w:r>
      <w:r w:rsidR="00F9279D">
        <w:t xml:space="preserve"> with researcher skillsets.</w:t>
      </w:r>
      <w:r>
        <w:t xml:space="preserve"> </w:t>
      </w:r>
    </w:p>
    <w:p w14:paraId="29DBC59C" w14:textId="47B98CA7" w:rsidR="0015560D" w:rsidRDefault="0015560D" w:rsidP="0015560D">
      <w:pPr>
        <w:pStyle w:val="Heading3"/>
      </w:pPr>
      <w:r>
        <w:lastRenderedPageBreak/>
        <w:t>Understand</w:t>
      </w:r>
    </w:p>
    <w:p w14:paraId="6E1E7436" w14:textId="215D2053" w:rsidR="00F9279D" w:rsidRDefault="00F9279D" w:rsidP="002F218E">
      <w:pPr>
        <w:pStyle w:val="BodyText"/>
      </w:pPr>
      <w:r>
        <w:t>(I won’t write this as this is in the methods and not in data infrastructure).</w:t>
      </w:r>
    </w:p>
    <w:p w14:paraId="5C18C09A" w14:textId="264EF33F" w:rsidR="00A02935" w:rsidRDefault="00CA4250" w:rsidP="00A02935">
      <w:pPr>
        <w:pStyle w:val="Heading3"/>
      </w:pPr>
      <w:r>
        <w:t>Communicat</w:t>
      </w:r>
      <w:r w:rsidR="00A02935">
        <w:t>e</w:t>
      </w:r>
    </w:p>
    <w:p w14:paraId="5E25E751" w14:textId="2F8A4A06" w:rsidR="00E34CE7" w:rsidRDefault="00A02935" w:rsidP="00637F29">
      <w:pPr>
        <w:pStyle w:val="BodyText"/>
      </w:pPr>
      <w:r>
        <w:t xml:space="preserve">We aim to not only generate scientific publications but also important to make an impact on policy. </w:t>
      </w:r>
      <w:r w:rsidR="00EF3E3D">
        <w:t xml:space="preserve">To reach the scientific community we will </w:t>
      </w:r>
      <w:r w:rsidR="00EF3E3D" w:rsidRPr="00EF3E3D">
        <w:t>dissemina</w:t>
      </w:r>
      <w:r w:rsidR="00EF3E3D">
        <w:t>te</w:t>
      </w:r>
      <w:r w:rsidR="00EF3E3D" w:rsidRPr="00EF3E3D">
        <w:t xml:space="preserve"> our research findings through both traditional scientific publications and integration into the FAIR ecosystem. Sharing our research through established platforms, such as preprints and peer-reviewed journals, ensures credibility and fosters collaboration with other researchers. Additionally, by adhering to FAIR metadata standards</w:t>
      </w:r>
      <w:r w:rsidR="00EF3E3D">
        <w:t xml:space="preserve"> such as the Data Documentation Initiative (DDI)</w:t>
      </w:r>
      <w:r w:rsidR="00EF3E3D" w:rsidRPr="00EF3E3D">
        <w:t xml:space="preserve"> and connecting our outputs to well-established repositories like ICPSR,</w:t>
      </w:r>
      <w:r w:rsidR="00EF3E3D">
        <w:t xml:space="preserve"> or WORLDFAIR’s FAIR Implementation Profiles (FIP)</w:t>
      </w:r>
      <w:r w:rsidR="00EF3E3D" w:rsidRPr="00EF3E3D">
        <w:t xml:space="preserve"> we contribute to a global network of shared knowledge and resources. This integration not only facilitates cross-disciplinary collaboration but also promotes the long-term sustainability and impact of our research, ultimately enhancing our ability to address pressing global challenges in public health and climate change.</w:t>
      </w:r>
    </w:p>
    <w:p w14:paraId="06624C74" w14:textId="6FEB5F6E" w:rsidR="003F56AC" w:rsidRDefault="00B87B59" w:rsidP="00637F29">
      <w:pPr>
        <w:pStyle w:val="BodyText"/>
      </w:pPr>
      <w:r w:rsidRPr="00B87B59">
        <w:t xml:space="preserve">To make a policy impact we need to be able reach a broader audience (non-researchers), we believe that it is essential to convey </w:t>
      </w:r>
      <w:r w:rsidR="00E978A3" w:rsidRPr="00B87B59">
        <w:t>our</w:t>
      </w:r>
      <w:r w:rsidRPr="00B87B59">
        <w:t xml:space="preserve"> data and findings in ways that are both accessible and engaging to non-scientific audiences. By employing contemporary technologies such as Svelte.js, D3.js, and full-stack JavaScript frameworks like Next.js, we can create interactive, dynamic, and user-friendly web interfaces that cater to a diverse audience. We also will leverage modern serverless infrastructure to (Azure Serverless Functions and Static Web Apps) to have a low cost/maintenance infrastructure to allow us to focus on delivering high value narratives/content.</w:t>
      </w:r>
      <w:r>
        <w:t xml:space="preserve"> </w:t>
      </w:r>
      <w:r w:rsidR="00E978A3">
        <w:t xml:space="preserve">This web platform will also host other digital content such as workshops, videos, podcasts. </w:t>
      </w:r>
      <w:r w:rsidRPr="00B87B59">
        <w:t>By making our research outcomes more accessible and engaging, we foster greater awareness and understanding, ultimately amplifying our impact beyond the confines of academia.</w:t>
      </w:r>
    </w:p>
    <w:p w14:paraId="0AF41B44" w14:textId="77777777" w:rsidR="003F56AC" w:rsidRPr="00207CEC" w:rsidRDefault="003F56AC" w:rsidP="00637F29">
      <w:pPr>
        <w:pStyle w:val="BodyText"/>
      </w:pPr>
    </w:p>
    <w:sectPr w:rsidR="003F56AC" w:rsidRPr="00207C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28927" w14:textId="77777777" w:rsidR="000C1462" w:rsidRDefault="000C1462">
      <w:pPr>
        <w:spacing w:after="0"/>
      </w:pPr>
      <w:r>
        <w:separator/>
      </w:r>
    </w:p>
  </w:endnote>
  <w:endnote w:type="continuationSeparator" w:id="0">
    <w:p w14:paraId="7E21C853" w14:textId="77777777" w:rsidR="000C1462" w:rsidRDefault="000C14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71F9" w14:textId="77777777" w:rsidR="000C1462" w:rsidRDefault="000C1462">
      <w:r>
        <w:separator/>
      </w:r>
    </w:p>
  </w:footnote>
  <w:footnote w:type="continuationSeparator" w:id="0">
    <w:p w14:paraId="655F491C" w14:textId="77777777" w:rsidR="000C1462" w:rsidRDefault="000C1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581E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25C62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7D64D346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2"/>
    <w:multiLevelType w:val="multilevel"/>
    <w:tmpl w:val="83A6D93E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1253230C"/>
    <w:multiLevelType w:val="hybridMultilevel"/>
    <w:tmpl w:val="4DF05F18"/>
    <w:lvl w:ilvl="0" w:tplc="B87E4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03B23"/>
    <w:multiLevelType w:val="hybridMultilevel"/>
    <w:tmpl w:val="B1127C6A"/>
    <w:lvl w:ilvl="0" w:tplc="79623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B126B"/>
    <w:multiLevelType w:val="hybridMultilevel"/>
    <w:tmpl w:val="87E4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F17BA"/>
    <w:multiLevelType w:val="hybridMultilevel"/>
    <w:tmpl w:val="5C3A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26AFF"/>
    <w:multiLevelType w:val="hybridMultilevel"/>
    <w:tmpl w:val="9008EACC"/>
    <w:lvl w:ilvl="0" w:tplc="E2D20E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571167">
    <w:abstractNumId w:val="0"/>
  </w:num>
  <w:num w:numId="2" w16cid:durableId="1706372402">
    <w:abstractNumId w:val="1"/>
  </w:num>
  <w:num w:numId="3" w16cid:durableId="899100189">
    <w:abstractNumId w:val="1"/>
  </w:num>
  <w:num w:numId="4" w16cid:durableId="318965870">
    <w:abstractNumId w:val="1"/>
  </w:num>
  <w:num w:numId="5" w16cid:durableId="1933197966">
    <w:abstractNumId w:val="1"/>
  </w:num>
  <w:num w:numId="6" w16cid:durableId="2064715614">
    <w:abstractNumId w:val="1"/>
  </w:num>
  <w:num w:numId="7" w16cid:durableId="4147427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97332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503713495">
    <w:abstractNumId w:val="1"/>
  </w:num>
  <w:num w:numId="10" w16cid:durableId="1252736574">
    <w:abstractNumId w:val="1"/>
  </w:num>
  <w:num w:numId="11" w16cid:durableId="1190334796">
    <w:abstractNumId w:val="1"/>
  </w:num>
  <w:num w:numId="12" w16cid:durableId="1125003144">
    <w:abstractNumId w:val="1"/>
  </w:num>
  <w:num w:numId="13" w16cid:durableId="998579002">
    <w:abstractNumId w:val="6"/>
  </w:num>
  <w:num w:numId="14" w16cid:durableId="1122268752">
    <w:abstractNumId w:val="7"/>
  </w:num>
  <w:num w:numId="15" w16cid:durableId="493107498">
    <w:abstractNumId w:val="5"/>
  </w:num>
  <w:num w:numId="16" w16cid:durableId="863900585">
    <w:abstractNumId w:val="8"/>
  </w:num>
  <w:num w:numId="17" w16cid:durableId="1193885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910"/>
    <w:rsid w:val="000578CA"/>
    <w:rsid w:val="000C1462"/>
    <w:rsid w:val="000C3478"/>
    <w:rsid w:val="00106D3B"/>
    <w:rsid w:val="0015560D"/>
    <w:rsid w:val="00196376"/>
    <w:rsid w:val="001C0C1D"/>
    <w:rsid w:val="001D42CB"/>
    <w:rsid w:val="00207CEC"/>
    <w:rsid w:val="002C607C"/>
    <w:rsid w:val="002F218E"/>
    <w:rsid w:val="0030433D"/>
    <w:rsid w:val="00312A6C"/>
    <w:rsid w:val="003A6997"/>
    <w:rsid w:val="003F56AC"/>
    <w:rsid w:val="00466078"/>
    <w:rsid w:val="004B3408"/>
    <w:rsid w:val="004C156E"/>
    <w:rsid w:val="004C56F7"/>
    <w:rsid w:val="00511E77"/>
    <w:rsid w:val="00535799"/>
    <w:rsid w:val="0054512F"/>
    <w:rsid w:val="00584B64"/>
    <w:rsid w:val="00633175"/>
    <w:rsid w:val="006331C7"/>
    <w:rsid w:val="00637F29"/>
    <w:rsid w:val="007121AE"/>
    <w:rsid w:val="00717519"/>
    <w:rsid w:val="00726B09"/>
    <w:rsid w:val="007E6EF2"/>
    <w:rsid w:val="0091025B"/>
    <w:rsid w:val="0092567E"/>
    <w:rsid w:val="00994E57"/>
    <w:rsid w:val="00A02935"/>
    <w:rsid w:val="00A119B5"/>
    <w:rsid w:val="00A84DAC"/>
    <w:rsid w:val="00AB5BF6"/>
    <w:rsid w:val="00B87B59"/>
    <w:rsid w:val="00BC7E93"/>
    <w:rsid w:val="00C25BAB"/>
    <w:rsid w:val="00C65548"/>
    <w:rsid w:val="00CA4250"/>
    <w:rsid w:val="00D85F68"/>
    <w:rsid w:val="00DA168E"/>
    <w:rsid w:val="00DC6910"/>
    <w:rsid w:val="00E34CE7"/>
    <w:rsid w:val="00E978A3"/>
    <w:rsid w:val="00EC6992"/>
    <w:rsid w:val="00EF3E3D"/>
    <w:rsid w:val="00F4525D"/>
    <w:rsid w:val="00F60B4C"/>
    <w:rsid w:val="00F9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9EF9"/>
  <w15:docId w15:val="{CA834C60-1A0C-4E83-B1FA-7659707B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UnresolvedMention">
    <w:name w:val="Unresolved Mention"/>
    <w:basedOn w:val="DefaultParagraphFont"/>
    <w:uiPriority w:val="99"/>
    <w:semiHidden/>
    <w:unhideWhenUsed/>
    <w:rsid w:val="003F5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F56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P20 - data instracture v1 - rant</vt:lpstr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P20 - data instracture v1 - rant</dc:title>
  <dc:creator/>
  <cp:keywords/>
  <cp:lastModifiedBy>Li,Ran</cp:lastModifiedBy>
  <cp:revision>33</cp:revision>
  <dcterms:created xsi:type="dcterms:W3CDTF">2023-04-18T23:37:00Z</dcterms:created>
  <dcterms:modified xsi:type="dcterms:W3CDTF">2023-04-27T13:55:00Z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