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BC8EE" w14:textId="6F41A44F" w:rsidR="00996429" w:rsidRDefault="00996429">
      <w:r w:rsidRPr="008E694D">
        <w:rPr>
          <w:b/>
          <w:bCs/>
        </w:rPr>
        <w:t>Title</w:t>
      </w:r>
      <w:r>
        <w:t>:</w:t>
      </w:r>
      <w:r w:rsidR="00CF3DA6">
        <w:t xml:space="preserve"> Understanding the Health of Philadelphia’s City Council Districts </w:t>
      </w:r>
    </w:p>
    <w:p w14:paraId="2D3D17BC" w14:textId="7C1E0477" w:rsidR="00996429" w:rsidRDefault="00996429">
      <w:r w:rsidRPr="008E694D">
        <w:rPr>
          <w:b/>
          <w:bCs/>
        </w:rPr>
        <w:t>Authors</w:t>
      </w:r>
      <w:r>
        <w:t>:</w:t>
      </w:r>
      <w:r w:rsidR="008E694D">
        <w:t xml:space="preserve"> Tamara Rushovich, Amber Bolli, Alina Schnake-Mahl, Stephanie Hernandez </w:t>
      </w:r>
    </w:p>
    <w:p w14:paraId="7410AAE6" w14:textId="0653FE56" w:rsidR="00996429" w:rsidRDefault="00996429">
      <w:r w:rsidRPr="008E694D">
        <w:rPr>
          <w:b/>
          <w:bCs/>
        </w:rPr>
        <w:t>Journal</w:t>
      </w:r>
      <w:r>
        <w:t xml:space="preserve">: </w:t>
      </w:r>
      <w:r w:rsidR="00125445">
        <w:t>Journal of Urban Health</w:t>
      </w:r>
    </w:p>
    <w:p w14:paraId="31501468" w14:textId="6D43A734" w:rsidR="00996429" w:rsidRPr="00996429" w:rsidRDefault="00996429">
      <w:pPr>
        <w:rPr>
          <w:b/>
          <w:bCs/>
        </w:rPr>
      </w:pPr>
    </w:p>
    <w:p w14:paraId="58B41BBB" w14:textId="7E8DE414" w:rsidR="00996429" w:rsidRDefault="00996429">
      <w:pPr>
        <w:rPr>
          <w:b/>
          <w:bCs/>
        </w:rPr>
      </w:pPr>
      <w:r w:rsidRPr="00996429">
        <w:rPr>
          <w:b/>
          <w:bCs/>
        </w:rPr>
        <w:t>Introduction</w:t>
      </w:r>
    </w:p>
    <w:p w14:paraId="24CCE745" w14:textId="1DAD28E3" w:rsidR="00316ABC" w:rsidRDefault="008E694D">
      <w:r>
        <w:t xml:space="preserve">The use of geopolitical units in public health has increased in recent years. There have been several studies reported investigating health metrics by US congressional districts </w:t>
      </w:r>
      <w:r w:rsidR="00316ABC">
        <w:t xml:space="preserve">– for example, reporting COVID-19 disparities (CITE), cancer mortality (CITE)…. There are also numerous dashboards including for XX, XX, and XX. There have also been several studies reporting on the methods for estimating public health metrics by district as most public health data are not commonly available using district boundaries. The motivation for these studies </w:t>
      </w:r>
      <w:proofErr w:type="gramStart"/>
      <w:r w:rsidR="00316ABC">
        <w:t>are</w:t>
      </w:r>
      <w:proofErr w:type="gramEnd"/>
      <w:r w:rsidR="00316ABC">
        <w:t xml:space="preserve"> both to provide elected officials with data for the districts they represent</w:t>
      </w:r>
      <w:r w:rsidR="00F85FBF">
        <w:t xml:space="preserve">, </w:t>
      </w:r>
      <w:r w:rsidR="00316ABC">
        <w:t xml:space="preserve">as well as to provide residents with data on the health of their own districts and city.  </w:t>
      </w:r>
    </w:p>
    <w:p w14:paraId="1F5C6904" w14:textId="77777777" w:rsidR="00B12D3B" w:rsidRDefault="00B12D3B"/>
    <w:p w14:paraId="64AD4D0B" w14:textId="020B6C0A" w:rsidR="00316ABC" w:rsidRDefault="00316ABC">
      <w:r>
        <w:t>Almost all studies</w:t>
      </w:r>
      <w:r w:rsidR="00F85FBF">
        <w:t xml:space="preserve"> using geopolitical districts</w:t>
      </w:r>
      <w:r>
        <w:t xml:space="preserve"> have been conducted using US congressional districts, with X number of studies using state districts. However, to our knowledge no studies have been published reporting health metrics using city council district boundaries. It is important to understand the jurisdiction and influence that each level of government can have. City council districts are important as council members have control over policies and resources affecting the health and lives of their constituents. In Philadelphia, there are ten City Council districts, each represented by a single councilor.  The City council is comprised of these ten City Councilors and 7 at large members, who all serve X year terms. </w:t>
      </w:r>
    </w:p>
    <w:p w14:paraId="4E168350" w14:textId="62EE5DBD" w:rsidR="00717D7F" w:rsidRDefault="00B12D3B">
      <w:r>
        <w:t>To both understand the health status and existing inequities in Philadelphia and to better inform city council members as well as their constituents, we created a dashboard that displays health and related metrics by council district. In this paper, we investigate and present two health metrics</w:t>
      </w:r>
      <w:r w:rsidR="006428A3">
        <w:t xml:space="preserve"> from the dashboard</w:t>
      </w:r>
      <w:r>
        <w:t xml:space="preserve">, tree canopy coverage and health uninsurance, and assess their magnitude and distribution across the city. </w:t>
      </w:r>
    </w:p>
    <w:p w14:paraId="2098EC5B" w14:textId="713D0C87" w:rsidR="00996429" w:rsidRDefault="00CF3DA6">
      <w:pPr>
        <w:rPr>
          <w:b/>
          <w:bCs/>
        </w:rPr>
      </w:pPr>
      <w:r>
        <w:rPr>
          <w:b/>
          <w:bCs/>
        </w:rPr>
        <w:t xml:space="preserve">Dashboard: </w:t>
      </w:r>
      <w:hyperlink r:id="rId4" w:history="1">
        <w:r w:rsidRPr="00CF3DA6">
          <w:rPr>
            <w:rStyle w:val="Hyperlink"/>
          </w:rPr>
          <w:t>https://drexel-uhc.github.io/philadelphia-council-</w:t>
        </w:r>
        <w:r w:rsidRPr="00CF3DA6">
          <w:rPr>
            <w:rStyle w:val="Hyperlink"/>
          </w:rPr>
          <w:t>d</w:t>
        </w:r>
        <w:r w:rsidRPr="00CF3DA6">
          <w:rPr>
            <w:rStyle w:val="Hyperlink"/>
          </w:rPr>
          <w:t>istricts-and-health/?metric=hs_grad_pct</w:t>
        </w:r>
      </w:hyperlink>
      <w:r>
        <w:rPr>
          <w:b/>
          <w:bCs/>
        </w:rPr>
        <w:t xml:space="preserve"> </w:t>
      </w:r>
    </w:p>
    <w:p w14:paraId="6FB55893" w14:textId="5F629910" w:rsidR="00996429" w:rsidRPr="00CF3DA6" w:rsidRDefault="00996429">
      <w:r w:rsidRPr="00CF3DA6">
        <w:t xml:space="preserve">Other articles using council districts: </w:t>
      </w:r>
      <w:hyperlink r:id="rId5" w:history="1">
        <w:r w:rsidRPr="00CF3DA6">
          <w:rPr>
            <w:rStyle w:val="Hyperlink"/>
          </w:rPr>
          <w:t>http://www.rvadirt.com/s/RVA-Health-Inequality</w:t>
        </w:r>
        <w:r w:rsidRPr="00CF3DA6">
          <w:rPr>
            <w:rStyle w:val="Hyperlink"/>
          </w:rPr>
          <w:t>-</w:t>
        </w:r>
        <w:r w:rsidRPr="00CF3DA6">
          <w:rPr>
            <w:rStyle w:val="Hyperlink"/>
          </w:rPr>
          <w:t>by-District.pdf</w:t>
        </w:r>
      </w:hyperlink>
      <w:r w:rsidRPr="00CF3DA6">
        <w:t xml:space="preserve"> </w:t>
      </w:r>
      <w:r w:rsidR="00B33144">
        <w:t xml:space="preserve">(this one is </w:t>
      </w:r>
      <w:r w:rsidR="0062707D">
        <w:t>not actually published)</w:t>
      </w:r>
    </w:p>
    <w:p w14:paraId="4E1B82BC" w14:textId="77777777" w:rsidR="00CF3DA6" w:rsidRDefault="00CF3DA6">
      <w:pPr>
        <w:rPr>
          <w:b/>
          <w:bCs/>
        </w:rPr>
      </w:pPr>
    </w:p>
    <w:p w14:paraId="07A7753F" w14:textId="5D7F1C72" w:rsidR="00996429" w:rsidRDefault="00996429">
      <w:pPr>
        <w:rPr>
          <w:b/>
          <w:bCs/>
        </w:rPr>
      </w:pPr>
      <w:r w:rsidRPr="00996429">
        <w:rPr>
          <w:b/>
          <w:bCs/>
        </w:rPr>
        <w:lastRenderedPageBreak/>
        <w:t>Methods</w:t>
      </w:r>
    </w:p>
    <w:p w14:paraId="070A7F42" w14:textId="3E4EF6C6" w:rsidR="00C37C01" w:rsidRDefault="001E21E7">
      <w:r>
        <w:t>In</w:t>
      </w:r>
      <w:r w:rsidR="008E694D">
        <w:t xml:space="preserve"> this paper we describe two out of ## metrics that are displayed on the Philadelphia Council District Health Dashboard: the percentage of residents lacking </w:t>
      </w:r>
      <w:r w:rsidR="00B12D3B">
        <w:t>health</w:t>
      </w:r>
      <w:r w:rsidR="008E694D">
        <w:t xml:space="preserve"> insurance and the percentage tree canopy cover. </w:t>
      </w:r>
      <w:r w:rsidR="00890A39">
        <w:t xml:space="preserve">Data for Philadelphia council districts was </w:t>
      </w:r>
      <w:r w:rsidR="00C37C01">
        <w:t>obtained</w:t>
      </w:r>
      <w:r w:rsidR="00890A39">
        <w:t xml:space="preserve"> from the American Community Survey 5-year estimates</w:t>
      </w:r>
      <w:r w:rsidR="00C37C01">
        <w:t xml:space="preserve"> for 2018-2022</w:t>
      </w:r>
      <w:r w:rsidR="00890A39">
        <w:t xml:space="preserve">. </w:t>
      </w:r>
      <w:r w:rsidR="00C37C01">
        <w:t>Calculating metrics by council district is challenging because health data are not commonly provided by that geographic unit. To calculate data by district, a multi</w:t>
      </w:r>
      <w:r w:rsidR="00B12D3B">
        <w:t>-</w:t>
      </w:r>
      <w:r w:rsidR="00C37C01">
        <w:t xml:space="preserve">step process is used. ACS data are obtained by census tract, which </w:t>
      </w:r>
      <w:r w:rsidR="005511E8">
        <w:t xml:space="preserve">is </w:t>
      </w:r>
      <w:r w:rsidR="00C37C01">
        <w:t>the smalle</w:t>
      </w:r>
      <w:r w:rsidR="00B12D3B">
        <w:t>st</w:t>
      </w:r>
      <w:r w:rsidR="00C37C01">
        <w:t xml:space="preserve"> geographic unit available for the health insurance variable. However, because census tracts do not nest perfectly into council districts, they </w:t>
      </w:r>
      <w:r w:rsidR="00FF1F5F">
        <w:t>are</w:t>
      </w:r>
      <w:r w:rsidR="00C37C01">
        <w:t xml:space="preserve"> weighted by census block population and then aggregated to the district level. </w:t>
      </w:r>
      <w:r w:rsidR="00890A39">
        <w:t xml:space="preserve">This is a method that has been used and described elsewhere (CITE). </w:t>
      </w:r>
    </w:p>
    <w:p w14:paraId="577E0620" w14:textId="48D1427E" w:rsidR="00C37C01" w:rsidRDefault="00C37C01">
      <w:r>
        <w:t xml:space="preserve">Data on tree canopy coverage </w:t>
      </w:r>
      <w:r>
        <w:t xml:space="preserve">was </w:t>
      </w:r>
      <w:r>
        <w:t>obtained from t</w:t>
      </w:r>
      <w:r>
        <w:t>he Urban Health Collaborative at Drexel University</w:t>
      </w:r>
      <w:r>
        <w:t xml:space="preserve"> at the census tract level for 20XX(?)</w:t>
      </w:r>
      <w:r>
        <w:t>.</w:t>
      </w:r>
      <w:r>
        <w:t xml:space="preserve"> The aggregation process described above was used to estimate tree coverage at the district level, however census block </w:t>
      </w:r>
      <w:r w:rsidR="001F6B98">
        <w:t xml:space="preserve">area </w:t>
      </w:r>
      <w:r>
        <w:t xml:space="preserve">values were used instead of population values. </w:t>
      </w:r>
    </w:p>
    <w:p w14:paraId="66719A93" w14:textId="2DD71239" w:rsidR="00890A39" w:rsidRDefault="005D62BC">
      <w:r>
        <w:t xml:space="preserve">The estimates of the percentage of residents lacking health insurance </w:t>
      </w:r>
      <w:r w:rsidR="00C37C01">
        <w:t xml:space="preserve">and percentage tree canopy coverage were reported </w:t>
      </w:r>
      <w:r>
        <w:t xml:space="preserve">for each district. Then, </w:t>
      </w:r>
      <w:r w:rsidR="00C37C01">
        <w:t>to</w:t>
      </w:r>
      <w:r>
        <w:t xml:space="preserve"> understand the degree of heterogeneity both between and within districts, we calculate and report the standard deviation of the census tract values within each district and the city-wide </w:t>
      </w:r>
      <w:r w:rsidR="00C37C01">
        <w:t>value</w:t>
      </w:r>
      <w:r>
        <w:t xml:space="preserve"> for the standard deviation between district level values. We also provide maps of the district and census tract values of the percentage of residents lacking health insurance. </w:t>
      </w:r>
    </w:p>
    <w:p w14:paraId="0CFA467E" w14:textId="113824A1" w:rsidR="00996429" w:rsidRDefault="00996429">
      <w:pPr>
        <w:rPr>
          <w:b/>
          <w:bCs/>
        </w:rPr>
      </w:pPr>
      <w:r w:rsidRPr="00996429">
        <w:rPr>
          <w:b/>
          <w:bCs/>
        </w:rPr>
        <w:t>Results</w:t>
      </w:r>
    </w:p>
    <w:p w14:paraId="14DBA23E" w14:textId="1FC77594" w:rsidR="00C37C01" w:rsidRDefault="00202463">
      <w:r>
        <w:t>There are ten city council districts in Philadelphia, each have a population of approximately 160,000 people and are represented by a single elected council member. The percentage of residence that lack health insurance ranged from</w:t>
      </w:r>
      <w:r w:rsidR="006B5269">
        <w:t xml:space="preserve"> 4.9% in district 4 to</w:t>
      </w:r>
      <w:r>
        <w:t xml:space="preserve"> 11.7% in district 7</w:t>
      </w:r>
      <w:r w:rsidR="006B5269">
        <w:t xml:space="preserve">. </w:t>
      </w:r>
      <w:r w:rsidR="00890A39">
        <w:t xml:space="preserve">Across the city, the standard deviation between council districts was 2.1, which means that most districts fell within 2.1 points of the average. However, within districts there was more variation. The district with the highest internal variation was district 6, which had a standard deviation of 5.5 and the district with the lowest was district 4, which had a standard deviation of 2.8. </w:t>
      </w:r>
    </w:p>
    <w:p w14:paraId="1BB8DEF1" w14:textId="2E8C617A" w:rsidR="00C37C01" w:rsidRDefault="00C37C01">
      <w:r>
        <w:t xml:space="preserve">For tree canopy coverage, the districts with the most tree canopy coverage were districts 4 and 19, which both had 19% coverage. The district with the </w:t>
      </w:r>
      <w:r w:rsidR="008E694D">
        <w:t>least tree</w:t>
      </w:r>
      <w:r>
        <w:t xml:space="preserve"> coverage was </w:t>
      </w:r>
      <w:r w:rsidR="008E694D">
        <w:t xml:space="preserve">district 1 with only 1.8% coverage. There was a fairly high degree of variation between districts with a standard deviation of 6.4, which is higher than the standard deviation for lacking health </w:t>
      </w:r>
      <w:r w:rsidR="008E694D">
        <w:lastRenderedPageBreak/>
        <w:t xml:space="preserve">insurance. There were also some districts with high internal variation, specifically, districts 4 and 8 had the highest while district 1 had the lowest. </w:t>
      </w:r>
    </w:p>
    <w:p w14:paraId="23C7B39F" w14:textId="77777777" w:rsidR="008E694D" w:rsidRPr="00C37C01" w:rsidRDefault="008E694D"/>
    <w:tbl>
      <w:tblPr>
        <w:tblStyle w:val="TableGrid"/>
        <w:tblW w:w="8531" w:type="dxa"/>
        <w:tblLayout w:type="fixed"/>
        <w:tblLook w:val="0000" w:firstRow="0" w:lastRow="0" w:firstColumn="0" w:lastColumn="0" w:noHBand="0" w:noVBand="0"/>
      </w:tblPr>
      <w:tblGrid>
        <w:gridCol w:w="1400"/>
        <w:gridCol w:w="1925"/>
        <w:gridCol w:w="3150"/>
        <w:gridCol w:w="2056"/>
      </w:tblGrid>
      <w:tr w:rsidR="007F0274" w14:paraId="469840E2" w14:textId="77777777" w:rsidTr="00F10931">
        <w:trPr>
          <w:trHeight w:val="283"/>
        </w:trPr>
        <w:tc>
          <w:tcPr>
            <w:tcW w:w="1400" w:type="dxa"/>
          </w:tcPr>
          <w:p w14:paraId="13F2FBE5" w14:textId="547ACB5E" w:rsidR="007F0274" w:rsidRDefault="007F0274" w:rsidP="00890A39">
            <w:pPr>
              <w:autoSpaceDE w:val="0"/>
              <w:autoSpaceDN w:val="0"/>
              <w:adjustRightInd w:val="0"/>
              <w:jc w:val="center"/>
              <w:rPr>
                <w:rFonts w:ascii="Calibri" w:hAnsi="Calibri" w:cs="Calibri"/>
                <w:b/>
                <w:bCs/>
                <w:color w:val="000000"/>
                <w:kern w:val="0"/>
                <w:sz w:val="22"/>
                <w:szCs w:val="22"/>
              </w:rPr>
            </w:pPr>
            <w:r>
              <w:rPr>
                <w:rFonts w:ascii="Calibri" w:hAnsi="Calibri" w:cs="Calibri"/>
                <w:b/>
                <w:bCs/>
                <w:color w:val="000000"/>
                <w:kern w:val="0"/>
                <w:sz w:val="22"/>
                <w:szCs w:val="22"/>
              </w:rPr>
              <w:t>DISTRICT</w:t>
            </w:r>
          </w:p>
        </w:tc>
        <w:tc>
          <w:tcPr>
            <w:tcW w:w="1925" w:type="dxa"/>
          </w:tcPr>
          <w:p w14:paraId="02C41E4C" w14:textId="3FE2C66B" w:rsidR="007F0274" w:rsidRDefault="007F0274" w:rsidP="00890A39">
            <w:pPr>
              <w:autoSpaceDE w:val="0"/>
              <w:autoSpaceDN w:val="0"/>
              <w:adjustRightInd w:val="0"/>
              <w:jc w:val="center"/>
              <w:rPr>
                <w:rFonts w:ascii="Calibri" w:hAnsi="Calibri" w:cs="Calibri"/>
                <w:b/>
                <w:bCs/>
                <w:color w:val="000000"/>
                <w:kern w:val="0"/>
                <w:sz w:val="22"/>
                <w:szCs w:val="22"/>
              </w:rPr>
            </w:pPr>
            <w:r>
              <w:rPr>
                <w:rFonts w:ascii="Calibri" w:hAnsi="Calibri" w:cs="Calibri"/>
                <w:b/>
                <w:bCs/>
                <w:color w:val="000000"/>
                <w:kern w:val="0"/>
                <w:sz w:val="22"/>
                <w:szCs w:val="22"/>
              </w:rPr>
              <w:t>Lacking</w:t>
            </w:r>
            <w:r>
              <w:rPr>
                <w:rFonts w:ascii="Calibri" w:hAnsi="Calibri" w:cs="Calibri"/>
                <w:b/>
                <w:bCs/>
                <w:color w:val="000000"/>
                <w:kern w:val="0"/>
                <w:sz w:val="22"/>
                <w:szCs w:val="22"/>
              </w:rPr>
              <w:t xml:space="preserve"> health insurance</w:t>
            </w:r>
            <w:r>
              <w:rPr>
                <w:rFonts w:ascii="Calibri" w:hAnsi="Calibri" w:cs="Calibri"/>
                <w:b/>
                <w:bCs/>
                <w:color w:val="000000"/>
                <w:kern w:val="0"/>
                <w:sz w:val="22"/>
                <w:szCs w:val="22"/>
              </w:rPr>
              <w:t xml:space="preserve"> (%)</w:t>
            </w:r>
          </w:p>
        </w:tc>
        <w:tc>
          <w:tcPr>
            <w:tcW w:w="3150" w:type="dxa"/>
          </w:tcPr>
          <w:p w14:paraId="38CAFB36" w14:textId="76FC1045" w:rsidR="007F0274" w:rsidRDefault="007F0274" w:rsidP="00890A39">
            <w:pPr>
              <w:autoSpaceDE w:val="0"/>
              <w:autoSpaceDN w:val="0"/>
              <w:adjustRightInd w:val="0"/>
              <w:jc w:val="center"/>
              <w:rPr>
                <w:rFonts w:ascii="Calibri" w:hAnsi="Calibri" w:cs="Calibri"/>
                <w:b/>
                <w:bCs/>
                <w:color w:val="000000"/>
                <w:kern w:val="0"/>
                <w:sz w:val="22"/>
                <w:szCs w:val="22"/>
              </w:rPr>
            </w:pPr>
            <w:r>
              <w:rPr>
                <w:rFonts w:ascii="Calibri" w:hAnsi="Calibri" w:cs="Calibri"/>
                <w:b/>
                <w:bCs/>
                <w:color w:val="000000"/>
                <w:kern w:val="0"/>
                <w:sz w:val="22"/>
                <w:szCs w:val="22"/>
              </w:rPr>
              <w:t xml:space="preserve">Standard deviation </w:t>
            </w:r>
            <w:r>
              <w:rPr>
                <w:rFonts w:ascii="Calibri" w:hAnsi="Calibri" w:cs="Calibri"/>
                <w:b/>
                <w:bCs/>
                <w:color w:val="000000"/>
                <w:kern w:val="0"/>
                <w:sz w:val="22"/>
                <w:szCs w:val="22"/>
              </w:rPr>
              <w:t>of tract health insurance within district</w:t>
            </w:r>
          </w:p>
        </w:tc>
        <w:tc>
          <w:tcPr>
            <w:tcW w:w="2056" w:type="dxa"/>
          </w:tcPr>
          <w:p w14:paraId="5E1429E6" w14:textId="1E8CE7FC" w:rsidR="007F0274" w:rsidRDefault="007F0274" w:rsidP="00890A39">
            <w:pPr>
              <w:autoSpaceDE w:val="0"/>
              <w:autoSpaceDN w:val="0"/>
              <w:adjustRightInd w:val="0"/>
              <w:jc w:val="center"/>
              <w:rPr>
                <w:rFonts w:ascii="Calibri" w:hAnsi="Calibri" w:cs="Calibri"/>
                <w:b/>
                <w:bCs/>
                <w:color w:val="000000"/>
                <w:kern w:val="0"/>
                <w:sz w:val="22"/>
                <w:szCs w:val="22"/>
              </w:rPr>
            </w:pPr>
            <w:r>
              <w:rPr>
                <w:rFonts w:ascii="Calibri" w:hAnsi="Calibri" w:cs="Calibri"/>
                <w:b/>
                <w:bCs/>
                <w:color w:val="000000"/>
                <w:kern w:val="0"/>
                <w:sz w:val="22"/>
                <w:szCs w:val="22"/>
              </w:rPr>
              <w:t>Standard deviation</w:t>
            </w:r>
            <w:r>
              <w:rPr>
                <w:rFonts w:ascii="Calibri" w:hAnsi="Calibri" w:cs="Calibri"/>
                <w:b/>
                <w:bCs/>
                <w:color w:val="000000"/>
                <w:kern w:val="0"/>
                <w:sz w:val="22"/>
                <w:szCs w:val="22"/>
              </w:rPr>
              <w:t xml:space="preserve"> between districts</w:t>
            </w:r>
          </w:p>
        </w:tc>
      </w:tr>
      <w:tr w:rsidR="00A1195A" w14:paraId="2C004354" w14:textId="77777777" w:rsidTr="00A1195A">
        <w:trPr>
          <w:trHeight w:val="283"/>
        </w:trPr>
        <w:tc>
          <w:tcPr>
            <w:tcW w:w="1400" w:type="dxa"/>
          </w:tcPr>
          <w:p w14:paraId="59FE0042"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w:t>
            </w:r>
          </w:p>
        </w:tc>
        <w:tc>
          <w:tcPr>
            <w:tcW w:w="1925" w:type="dxa"/>
          </w:tcPr>
          <w:p w14:paraId="179121D2"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7.4</w:t>
            </w:r>
          </w:p>
        </w:tc>
        <w:tc>
          <w:tcPr>
            <w:tcW w:w="3150" w:type="dxa"/>
            <w:vAlign w:val="bottom"/>
          </w:tcPr>
          <w:p w14:paraId="35CB21C9" w14:textId="5F90ED05"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5.7</w:t>
            </w:r>
          </w:p>
        </w:tc>
        <w:tc>
          <w:tcPr>
            <w:tcW w:w="2056" w:type="dxa"/>
            <w:vMerge w:val="restart"/>
            <w:vAlign w:val="center"/>
          </w:tcPr>
          <w:p w14:paraId="4CDBEC2C" w14:textId="2EA8A292" w:rsidR="00A1195A" w:rsidRDefault="00A1195A" w:rsidP="00A1195A">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2.1</w:t>
            </w:r>
          </w:p>
        </w:tc>
      </w:tr>
      <w:tr w:rsidR="00A1195A" w14:paraId="57D9B7C0" w14:textId="77777777" w:rsidTr="00F10931">
        <w:trPr>
          <w:trHeight w:val="283"/>
        </w:trPr>
        <w:tc>
          <w:tcPr>
            <w:tcW w:w="1400" w:type="dxa"/>
          </w:tcPr>
          <w:p w14:paraId="12F31579"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2</w:t>
            </w:r>
          </w:p>
        </w:tc>
        <w:tc>
          <w:tcPr>
            <w:tcW w:w="1925" w:type="dxa"/>
          </w:tcPr>
          <w:p w14:paraId="323682D4"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5.7</w:t>
            </w:r>
          </w:p>
        </w:tc>
        <w:tc>
          <w:tcPr>
            <w:tcW w:w="3150" w:type="dxa"/>
            <w:vAlign w:val="bottom"/>
          </w:tcPr>
          <w:p w14:paraId="7045C2F9" w14:textId="4F47A06D"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3.7</w:t>
            </w:r>
          </w:p>
        </w:tc>
        <w:tc>
          <w:tcPr>
            <w:tcW w:w="2056" w:type="dxa"/>
            <w:vMerge/>
          </w:tcPr>
          <w:p w14:paraId="3F55C0FE" w14:textId="7663020F"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4AEF04CA" w14:textId="77777777" w:rsidTr="00F10931">
        <w:trPr>
          <w:trHeight w:val="283"/>
        </w:trPr>
        <w:tc>
          <w:tcPr>
            <w:tcW w:w="1400" w:type="dxa"/>
          </w:tcPr>
          <w:p w14:paraId="566B14AB"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3</w:t>
            </w:r>
          </w:p>
        </w:tc>
        <w:tc>
          <w:tcPr>
            <w:tcW w:w="1925" w:type="dxa"/>
          </w:tcPr>
          <w:p w14:paraId="2CF2F888"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6.7</w:t>
            </w:r>
          </w:p>
        </w:tc>
        <w:tc>
          <w:tcPr>
            <w:tcW w:w="3150" w:type="dxa"/>
            <w:vAlign w:val="bottom"/>
          </w:tcPr>
          <w:p w14:paraId="00354ED4" w14:textId="4AB505DC"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4.3</w:t>
            </w:r>
          </w:p>
        </w:tc>
        <w:tc>
          <w:tcPr>
            <w:tcW w:w="2056" w:type="dxa"/>
            <w:vMerge/>
          </w:tcPr>
          <w:p w14:paraId="181DD131" w14:textId="52661769"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3AC6C0BC" w14:textId="77777777" w:rsidTr="00F10931">
        <w:trPr>
          <w:trHeight w:val="283"/>
        </w:trPr>
        <w:tc>
          <w:tcPr>
            <w:tcW w:w="1400" w:type="dxa"/>
          </w:tcPr>
          <w:p w14:paraId="4E97A63C"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4</w:t>
            </w:r>
          </w:p>
        </w:tc>
        <w:tc>
          <w:tcPr>
            <w:tcW w:w="1925" w:type="dxa"/>
          </w:tcPr>
          <w:p w14:paraId="0E98BDA4"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4.9</w:t>
            </w:r>
          </w:p>
        </w:tc>
        <w:tc>
          <w:tcPr>
            <w:tcW w:w="3150" w:type="dxa"/>
            <w:vAlign w:val="bottom"/>
          </w:tcPr>
          <w:p w14:paraId="14AFFD2B" w14:textId="4E42748C"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2.7</w:t>
            </w:r>
          </w:p>
        </w:tc>
        <w:tc>
          <w:tcPr>
            <w:tcW w:w="2056" w:type="dxa"/>
            <w:vMerge/>
          </w:tcPr>
          <w:p w14:paraId="3E902420" w14:textId="5EEAEC56"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3AE9A2B6" w14:textId="77777777" w:rsidTr="00F10931">
        <w:trPr>
          <w:trHeight w:val="283"/>
        </w:trPr>
        <w:tc>
          <w:tcPr>
            <w:tcW w:w="1400" w:type="dxa"/>
          </w:tcPr>
          <w:p w14:paraId="75DCAF5B"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5</w:t>
            </w:r>
          </w:p>
        </w:tc>
        <w:tc>
          <w:tcPr>
            <w:tcW w:w="1925" w:type="dxa"/>
          </w:tcPr>
          <w:p w14:paraId="268234A5"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5.5</w:t>
            </w:r>
          </w:p>
        </w:tc>
        <w:tc>
          <w:tcPr>
            <w:tcW w:w="3150" w:type="dxa"/>
            <w:vAlign w:val="bottom"/>
          </w:tcPr>
          <w:p w14:paraId="6C2A6618" w14:textId="0B80E845"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3.7</w:t>
            </w:r>
          </w:p>
        </w:tc>
        <w:tc>
          <w:tcPr>
            <w:tcW w:w="2056" w:type="dxa"/>
            <w:vMerge/>
          </w:tcPr>
          <w:p w14:paraId="319BA3DA" w14:textId="1285D9C0"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2AF11123" w14:textId="77777777" w:rsidTr="00F10931">
        <w:trPr>
          <w:trHeight w:val="283"/>
        </w:trPr>
        <w:tc>
          <w:tcPr>
            <w:tcW w:w="1400" w:type="dxa"/>
          </w:tcPr>
          <w:p w14:paraId="3013E2A8"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6</w:t>
            </w:r>
          </w:p>
        </w:tc>
        <w:tc>
          <w:tcPr>
            <w:tcW w:w="1925" w:type="dxa"/>
          </w:tcPr>
          <w:p w14:paraId="61121653"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7.4</w:t>
            </w:r>
          </w:p>
        </w:tc>
        <w:tc>
          <w:tcPr>
            <w:tcW w:w="3150" w:type="dxa"/>
            <w:vAlign w:val="bottom"/>
          </w:tcPr>
          <w:p w14:paraId="0DEF4EF7" w14:textId="29916F23"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5.8</w:t>
            </w:r>
          </w:p>
        </w:tc>
        <w:tc>
          <w:tcPr>
            <w:tcW w:w="2056" w:type="dxa"/>
            <w:vMerge/>
          </w:tcPr>
          <w:p w14:paraId="30B500EB" w14:textId="4ECDF676"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3D42E41E" w14:textId="77777777" w:rsidTr="00F10931">
        <w:trPr>
          <w:trHeight w:val="283"/>
        </w:trPr>
        <w:tc>
          <w:tcPr>
            <w:tcW w:w="1400" w:type="dxa"/>
          </w:tcPr>
          <w:p w14:paraId="7D2B366A"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7</w:t>
            </w:r>
          </w:p>
        </w:tc>
        <w:tc>
          <w:tcPr>
            <w:tcW w:w="1925" w:type="dxa"/>
          </w:tcPr>
          <w:p w14:paraId="782F3E7D"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11.7</w:t>
            </w:r>
          </w:p>
        </w:tc>
        <w:tc>
          <w:tcPr>
            <w:tcW w:w="3150" w:type="dxa"/>
            <w:vAlign w:val="bottom"/>
          </w:tcPr>
          <w:p w14:paraId="477D28F6" w14:textId="6E65F1EF"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5.7</w:t>
            </w:r>
          </w:p>
        </w:tc>
        <w:tc>
          <w:tcPr>
            <w:tcW w:w="2056" w:type="dxa"/>
            <w:vMerge/>
          </w:tcPr>
          <w:p w14:paraId="27994042" w14:textId="2A9A43CB"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5C44ADCC" w14:textId="77777777" w:rsidTr="00F10931">
        <w:trPr>
          <w:trHeight w:val="283"/>
        </w:trPr>
        <w:tc>
          <w:tcPr>
            <w:tcW w:w="1400" w:type="dxa"/>
          </w:tcPr>
          <w:p w14:paraId="4A3618F5"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8</w:t>
            </w:r>
          </w:p>
        </w:tc>
        <w:tc>
          <w:tcPr>
            <w:tcW w:w="1925" w:type="dxa"/>
          </w:tcPr>
          <w:p w14:paraId="71440DC2"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6.2</w:t>
            </w:r>
          </w:p>
        </w:tc>
        <w:tc>
          <w:tcPr>
            <w:tcW w:w="3150" w:type="dxa"/>
            <w:vAlign w:val="bottom"/>
          </w:tcPr>
          <w:p w14:paraId="5AD0C695" w14:textId="7A318B03"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3.9</w:t>
            </w:r>
          </w:p>
        </w:tc>
        <w:tc>
          <w:tcPr>
            <w:tcW w:w="2056" w:type="dxa"/>
            <w:vMerge/>
          </w:tcPr>
          <w:p w14:paraId="165F2CC1" w14:textId="0E0ECAF3"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51F5AE1B" w14:textId="77777777" w:rsidTr="00F10931">
        <w:trPr>
          <w:trHeight w:val="283"/>
        </w:trPr>
        <w:tc>
          <w:tcPr>
            <w:tcW w:w="1400" w:type="dxa"/>
          </w:tcPr>
          <w:p w14:paraId="51CC421A"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9</w:t>
            </w:r>
          </w:p>
        </w:tc>
        <w:tc>
          <w:tcPr>
            <w:tcW w:w="1925" w:type="dxa"/>
          </w:tcPr>
          <w:p w14:paraId="3FFD84A4"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10.1</w:t>
            </w:r>
          </w:p>
        </w:tc>
        <w:tc>
          <w:tcPr>
            <w:tcW w:w="3150" w:type="dxa"/>
            <w:vAlign w:val="bottom"/>
          </w:tcPr>
          <w:p w14:paraId="7BD6660F" w14:textId="262AA916"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4.9</w:t>
            </w:r>
          </w:p>
        </w:tc>
        <w:tc>
          <w:tcPr>
            <w:tcW w:w="2056" w:type="dxa"/>
            <w:vMerge/>
          </w:tcPr>
          <w:p w14:paraId="6B164F86" w14:textId="567744C5"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1EC66C9D" w14:textId="77777777" w:rsidTr="00F10931">
        <w:trPr>
          <w:trHeight w:val="283"/>
        </w:trPr>
        <w:tc>
          <w:tcPr>
            <w:tcW w:w="1400" w:type="dxa"/>
          </w:tcPr>
          <w:p w14:paraId="5A2D6840" w14:textId="75C36430"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10</w:t>
            </w:r>
          </w:p>
        </w:tc>
        <w:tc>
          <w:tcPr>
            <w:tcW w:w="1925" w:type="dxa"/>
          </w:tcPr>
          <w:p w14:paraId="3D750712" w14:textId="37B263A6"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6.6</w:t>
            </w:r>
          </w:p>
        </w:tc>
        <w:tc>
          <w:tcPr>
            <w:tcW w:w="3150" w:type="dxa"/>
            <w:vAlign w:val="bottom"/>
          </w:tcPr>
          <w:p w14:paraId="4D9D138E" w14:textId="5F7065B8"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sz w:val="22"/>
                <w:szCs w:val="22"/>
              </w:rPr>
              <w:t>4.4</w:t>
            </w:r>
          </w:p>
        </w:tc>
        <w:tc>
          <w:tcPr>
            <w:tcW w:w="2056" w:type="dxa"/>
            <w:vMerge/>
          </w:tcPr>
          <w:p w14:paraId="1E041C82" w14:textId="2F4E1AE0" w:rsidR="00A1195A" w:rsidRDefault="00A1195A" w:rsidP="004A0EBD">
            <w:pPr>
              <w:autoSpaceDE w:val="0"/>
              <w:autoSpaceDN w:val="0"/>
              <w:adjustRightInd w:val="0"/>
              <w:jc w:val="center"/>
              <w:rPr>
                <w:rFonts w:ascii="Calibri" w:hAnsi="Calibri" w:cs="Calibri"/>
                <w:color w:val="000000"/>
                <w:kern w:val="0"/>
                <w:sz w:val="22"/>
                <w:szCs w:val="22"/>
              </w:rPr>
            </w:pPr>
          </w:p>
        </w:tc>
      </w:tr>
    </w:tbl>
    <w:p w14:paraId="53FC9900" w14:textId="77777777" w:rsidR="00890A39" w:rsidRDefault="00890A39" w:rsidP="00890A39">
      <w:pPr>
        <w:jc w:val="center"/>
        <w:rPr>
          <w:b/>
          <w:bCs/>
        </w:rPr>
      </w:pPr>
    </w:p>
    <w:p w14:paraId="77500499" w14:textId="76ECA66D" w:rsidR="00E82B2D" w:rsidRPr="00996429" w:rsidRDefault="00EB1FB0">
      <w:pPr>
        <w:rPr>
          <w:b/>
          <w:bCs/>
        </w:rPr>
      </w:pPr>
      <w:r w:rsidRPr="00EB1FB0">
        <w:rPr>
          <w:noProof/>
        </w:rPr>
        <w:drawing>
          <wp:inline distT="0" distB="0" distL="0" distR="0" wp14:anchorId="5DF5232A" wp14:editId="6513649F">
            <wp:extent cx="2528515" cy="1702696"/>
            <wp:effectExtent l="0" t="0" r="0" b="0"/>
            <wp:docPr id="1193845762"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5762" name="Picture 1" descr="A map of a city&#10;&#10;AI-generated content may be incorrect."/>
                    <pic:cNvPicPr/>
                  </pic:nvPicPr>
                  <pic:blipFill>
                    <a:blip r:embed="rId6"/>
                    <a:stretch>
                      <a:fillRect/>
                    </a:stretch>
                  </pic:blipFill>
                  <pic:spPr>
                    <a:xfrm>
                      <a:off x="0" y="0"/>
                      <a:ext cx="2538528" cy="1709439"/>
                    </a:xfrm>
                    <a:prstGeom prst="rect">
                      <a:avLst/>
                    </a:prstGeom>
                  </pic:spPr>
                </pic:pic>
              </a:graphicData>
            </a:graphic>
          </wp:inline>
        </w:drawing>
      </w:r>
      <w:r w:rsidR="00E82B2D" w:rsidRPr="00E82B2D">
        <w:rPr>
          <w:noProof/>
        </w:rPr>
        <w:t xml:space="preserve"> </w:t>
      </w:r>
      <w:r w:rsidRPr="00EB1FB0">
        <w:rPr>
          <w:noProof/>
        </w:rPr>
        <w:drawing>
          <wp:inline distT="0" distB="0" distL="0" distR="0" wp14:anchorId="6FB9987C" wp14:editId="11215F3E">
            <wp:extent cx="2337683" cy="1706309"/>
            <wp:effectExtent l="0" t="0" r="0" b="0"/>
            <wp:docPr id="6269449"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449" name="Picture 1" descr="A map of the united states&#10;&#10;AI-generated content may be incorrect."/>
                    <pic:cNvPicPr/>
                  </pic:nvPicPr>
                  <pic:blipFill>
                    <a:blip r:embed="rId7"/>
                    <a:stretch>
                      <a:fillRect/>
                    </a:stretch>
                  </pic:blipFill>
                  <pic:spPr>
                    <a:xfrm>
                      <a:off x="0" y="0"/>
                      <a:ext cx="2360417" cy="1722903"/>
                    </a:xfrm>
                    <a:prstGeom prst="rect">
                      <a:avLst/>
                    </a:prstGeom>
                  </pic:spPr>
                </pic:pic>
              </a:graphicData>
            </a:graphic>
          </wp:inline>
        </w:drawing>
      </w:r>
    </w:p>
    <w:tbl>
      <w:tblPr>
        <w:tblStyle w:val="TableGrid"/>
        <w:tblW w:w="0" w:type="auto"/>
        <w:tblLayout w:type="fixed"/>
        <w:tblLook w:val="0000" w:firstRow="0" w:lastRow="0" w:firstColumn="0" w:lastColumn="0" w:noHBand="0" w:noVBand="0"/>
      </w:tblPr>
      <w:tblGrid>
        <w:gridCol w:w="1255"/>
        <w:gridCol w:w="1530"/>
        <w:gridCol w:w="3095"/>
        <w:gridCol w:w="2845"/>
      </w:tblGrid>
      <w:tr w:rsidR="004A0EBD" w14:paraId="09BDF72A" w14:textId="77777777" w:rsidTr="00F10931">
        <w:trPr>
          <w:trHeight w:val="324"/>
        </w:trPr>
        <w:tc>
          <w:tcPr>
            <w:tcW w:w="1255" w:type="dxa"/>
          </w:tcPr>
          <w:p w14:paraId="0998D5C6" w14:textId="77777777" w:rsidR="004A0EBD" w:rsidRDefault="004A0EBD" w:rsidP="004A0EBD">
            <w:pPr>
              <w:autoSpaceDE w:val="0"/>
              <w:autoSpaceDN w:val="0"/>
              <w:adjustRightInd w:val="0"/>
              <w:jc w:val="center"/>
              <w:rPr>
                <w:rFonts w:ascii="Calibri" w:hAnsi="Calibri" w:cs="Calibri"/>
                <w:b/>
                <w:bCs/>
                <w:color w:val="000000"/>
                <w:kern w:val="0"/>
                <w:sz w:val="22"/>
                <w:szCs w:val="22"/>
              </w:rPr>
            </w:pPr>
            <w:r>
              <w:rPr>
                <w:rFonts w:ascii="Calibri" w:hAnsi="Calibri" w:cs="Calibri"/>
                <w:b/>
                <w:bCs/>
                <w:color w:val="000000"/>
                <w:kern w:val="0"/>
                <w:sz w:val="22"/>
                <w:szCs w:val="22"/>
              </w:rPr>
              <w:t>DISTRICT</w:t>
            </w:r>
          </w:p>
        </w:tc>
        <w:tc>
          <w:tcPr>
            <w:tcW w:w="1530" w:type="dxa"/>
          </w:tcPr>
          <w:p w14:paraId="474DC3ED" w14:textId="2AA9A0FD" w:rsidR="004A0EBD" w:rsidRDefault="004A0EBD" w:rsidP="004A0EBD">
            <w:pPr>
              <w:autoSpaceDE w:val="0"/>
              <w:autoSpaceDN w:val="0"/>
              <w:adjustRightInd w:val="0"/>
              <w:jc w:val="center"/>
              <w:rPr>
                <w:rFonts w:ascii="Calibri" w:hAnsi="Calibri" w:cs="Calibri"/>
                <w:b/>
                <w:bCs/>
                <w:color w:val="000000"/>
                <w:kern w:val="0"/>
                <w:sz w:val="22"/>
                <w:szCs w:val="22"/>
              </w:rPr>
            </w:pPr>
            <w:r>
              <w:rPr>
                <w:rFonts w:ascii="Calibri" w:hAnsi="Calibri" w:cs="Calibri"/>
                <w:b/>
                <w:bCs/>
                <w:color w:val="000000"/>
                <w:kern w:val="0"/>
                <w:sz w:val="22"/>
                <w:szCs w:val="22"/>
              </w:rPr>
              <w:t>District Tree Coverage (%)</w:t>
            </w:r>
          </w:p>
        </w:tc>
        <w:tc>
          <w:tcPr>
            <w:tcW w:w="3095" w:type="dxa"/>
          </w:tcPr>
          <w:p w14:paraId="0D624161" w14:textId="2177BB94" w:rsidR="004A0EBD" w:rsidRDefault="004A0EBD" w:rsidP="004A0EBD">
            <w:pPr>
              <w:autoSpaceDE w:val="0"/>
              <w:autoSpaceDN w:val="0"/>
              <w:adjustRightInd w:val="0"/>
              <w:jc w:val="center"/>
              <w:rPr>
                <w:rFonts w:ascii="Calibri" w:hAnsi="Calibri" w:cs="Calibri"/>
                <w:b/>
                <w:bCs/>
                <w:color w:val="000000"/>
                <w:kern w:val="0"/>
                <w:sz w:val="22"/>
                <w:szCs w:val="22"/>
              </w:rPr>
            </w:pPr>
            <w:r>
              <w:rPr>
                <w:rFonts w:ascii="Calibri" w:hAnsi="Calibri" w:cs="Calibri"/>
                <w:b/>
                <w:bCs/>
                <w:color w:val="000000"/>
                <w:kern w:val="0"/>
                <w:sz w:val="22"/>
                <w:szCs w:val="22"/>
              </w:rPr>
              <w:t xml:space="preserve">Standard deviation of tract </w:t>
            </w:r>
            <w:r>
              <w:rPr>
                <w:rFonts w:ascii="Calibri" w:hAnsi="Calibri" w:cs="Calibri"/>
                <w:b/>
                <w:bCs/>
                <w:color w:val="000000"/>
                <w:kern w:val="0"/>
                <w:sz w:val="22"/>
                <w:szCs w:val="22"/>
              </w:rPr>
              <w:t xml:space="preserve">tree coverage </w:t>
            </w:r>
            <w:r>
              <w:rPr>
                <w:rFonts w:ascii="Calibri" w:hAnsi="Calibri" w:cs="Calibri"/>
                <w:b/>
                <w:bCs/>
                <w:color w:val="000000"/>
                <w:kern w:val="0"/>
                <w:sz w:val="22"/>
                <w:szCs w:val="22"/>
              </w:rPr>
              <w:t>within district</w:t>
            </w:r>
          </w:p>
        </w:tc>
        <w:tc>
          <w:tcPr>
            <w:tcW w:w="2845" w:type="dxa"/>
          </w:tcPr>
          <w:p w14:paraId="0D72D765" w14:textId="538385E3" w:rsidR="004A0EBD" w:rsidRDefault="004A0EBD" w:rsidP="004A0EBD">
            <w:pPr>
              <w:autoSpaceDE w:val="0"/>
              <w:autoSpaceDN w:val="0"/>
              <w:adjustRightInd w:val="0"/>
              <w:jc w:val="center"/>
              <w:rPr>
                <w:rFonts w:ascii="Calibri" w:hAnsi="Calibri" w:cs="Calibri"/>
                <w:b/>
                <w:bCs/>
                <w:color w:val="000000"/>
                <w:kern w:val="0"/>
                <w:sz w:val="22"/>
                <w:szCs w:val="22"/>
              </w:rPr>
            </w:pPr>
            <w:r>
              <w:rPr>
                <w:rFonts w:ascii="Calibri" w:hAnsi="Calibri" w:cs="Calibri"/>
                <w:b/>
                <w:bCs/>
                <w:color w:val="000000"/>
                <w:kern w:val="0"/>
                <w:sz w:val="22"/>
                <w:szCs w:val="22"/>
              </w:rPr>
              <w:t xml:space="preserve">Standard deviation </w:t>
            </w:r>
            <w:r>
              <w:rPr>
                <w:rFonts w:ascii="Calibri" w:hAnsi="Calibri" w:cs="Calibri"/>
                <w:b/>
                <w:bCs/>
                <w:color w:val="000000"/>
                <w:kern w:val="0"/>
                <w:sz w:val="22"/>
                <w:szCs w:val="22"/>
              </w:rPr>
              <w:t xml:space="preserve">of tree coverage </w:t>
            </w:r>
            <w:r>
              <w:rPr>
                <w:rFonts w:ascii="Calibri" w:hAnsi="Calibri" w:cs="Calibri"/>
                <w:b/>
                <w:bCs/>
                <w:color w:val="000000"/>
                <w:kern w:val="0"/>
                <w:sz w:val="22"/>
                <w:szCs w:val="22"/>
              </w:rPr>
              <w:t>between districts</w:t>
            </w:r>
          </w:p>
        </w:tc>
      </w:tr>
      <w:tr w:rsidR="00A1195A" w14:paraId="557EB654" w14:textId="77777777" w:rsidTr="00A1195A">
        <w:trPr>
          <w:trHeight w:val="324"/>
        </w:trPr>
        <w:tc>
          <w:tcPr>
            <w:tcW w:w="1255" w:type="dxa"/>
          </w:tcPr>
          <w:p w14:paraId="57BFC5F2"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w:t>
            </w:r>
          </w:p>
        </w:tc>
        <w:tc>
          <w:tcPr>
            <w:tcW w:w="1530" w:type="dxa"/>
          </w:tcPr>
          <w:p w14:paraId="7319BDE3"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1.8</w:t>
            </w:r>
          </w:p>
        </w:tc>
        <w:tc>
          <w:tcPr>
            <w:tcW w:w="3095" w:type="dxa"/>
          </w:tcPr>
          <w:p w14:paraId="3D9699A9"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2.3</w:t>
            </w:r>
          </w:p>
        </w:tc>
        <w:tc>
          <w:tcPr>
            <w:tcW w:w="2845" w:type="dxa"/>
            <w:vMerge w:val="restart"/>
            <w:vAlign w:val="center"/>
          </w:tcPr>
          <w:p w14:paraId="5591CD52" w14:textId="67A77C76" w:rsidR="00A1195A" w:rsidRDefault="00A1195A" w:rsidP="00A1195A">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6.4</w:t>
            </w:r>
          </w:p>
        </w:tc>
      </w:tr>
      <w:tr w:rsidR="00A1195A" w14:paraId="26E906DF" w14:textId="77777777" w:rsidTr="00F10931">
        <w:trPr>
          <w:trHeight w:val="324"/>
        </w:trPr>
        <w:tc>
          <w:tcPr>
            <w:tcW w:w="1255" w:type="dxa"/>
          </w:tcPr>
          <w:p w14:paraId="78E598F2"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2</w:t>
            </w:r>
          </w:p>
        </w:tc>
        <w:tc>
          <w:tcPr>
            <w:tcW w:w="1530" w:type="dxa"/>
          </w:tcPr>
          <w:p w14:paraId="1B29663D"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5.1</w:t>
            </w:r>
          </w:p>
        </w:tc>
        <w:tc>
          <w:tcPr>
            <w:tcW w:w="3095" w:type="dxa"/>
          </w:tcPr>
          <w:p w14:paraId="1E440269"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6.6</w:t>
            </w:r>
          </w:p>
        </w:tc>
        <w:tc>
          <w:tcPr>
            <w:tcW w:w="2845" w:type="dxa"/>
            <w:vMerge/>
          </w:tcPr>
          <w:p w14:paraId="321D3E3A" w14:textId="3CDDACDB"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4D62B340" w14:textId="77777777" w:rsidTr="00F10931">
        <w:trPr>
          <w:trHeight w:val="324"/>
        </w:trPr>
        <w:tc>
          <w:tcPr>
            <w:tcW w:w="1255" w:type="dxa"/>
          </w:tcPr>
          <w:p w14:paraId="54B95DA5"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3</w:t>
            </w:r>
          </w:p>
        </w:tc>
        <w:tc>
          <w:tcPr>
            <w:tcW w:w="1530" w:type="dxa"/>
          </w:tcPr>
          <w:p w14:paraId="664A6B77"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8.1</w:t>
            </w:r>
          </w:p>
        </w:tc>
        <w:tc>
          <w:tcPr>
            <w:tcW w:w="3095" w:type="dxa"/>
          </w:tcPr>
          <w:p w14:paraId="50099CFB"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7.5</w:t>
            </w:r>
          </w:p>
        </w:tc>
        <w:tc>
          <w:tcPr>
            <w:tcW w:w="2845" w:type="dxa"/>
            <w:vMerge/>
          </w:tcPr>
          <w:p w14:paraId="1BD8207A" w14:textId="04645963"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21C2AE74" w14:textId="77777777" w:rsidTr="00F10931">
        <w:trPr>
          <w:trHeight w:val="324"/>
        </w:trPr>
        <w:tc>
          <w:tcPr>
            <w:tcW w:w="1255" w:type="dxa"/>
          </w:tcPr>
          <w:p w14:paraId="5E836A4D"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4</w:t>
            </w:r>
          </w:p>
        </w:tc>
        <w:tc>
          <w:tcPr>
            <w:tcW w:w="1530" w:type="dxa"/>
          </w:tcPr>
          <w:p w14:paraId="7291F3D2" w14:textId="5139B1DC"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19</w:t>
            </w:r>
            <w:r>
              <w:rPr>
                <w:rFonts w:ascii="Calibri" w:hAnsi="Calibri" w:cs="Calibri"/>
                <w:color w:val="000000"/>
                <w:kern w:val="0"/>
                <w:sz w:val="22"/>
                <w:szCs w:val="22"/>
              </w:rPr>
              <w:t>.0</w:t>
            </w:r>
          </w:p>
        </w:tc>
        <w:tc>
          <w:tcPr>
            <w:tcW w:w="3095" w:type="dxa"/>
          </w:tcPr>
          <w:p w14:paraId="6443B60C"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18.5</w:t>
            </w:r>
          </w:p>
        </w:tc>
        <w:tc>
          <w:tcPr>
            <w:tcW w:w="2845" w:type="dxa"/>
            <w:vMerge/>
          </w:tcPr>
          <w:p w14:paraId="14ABE6D1" w14:textId="4565FD08"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71F74887" w14:textId="77777777" w:rsidTr="00F10931">
        <w:trPr>
          <w:trHeight w:val="324"/>
        </w:trPr>
        <w:tc>
          <w:tcPr>
            <w:tcW w:w="1255" w:type="dxa"/>
          </w:tcPr>
          <w:p w14:paraId="44AB5967"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5</w:t>
            </w:r>
          </w:p>
        </w:tc>
        <w:tc>
          <w:tcPr>
            <w:tcW w:w="1530" w:type="dxa"/>
          </w:tcPr>
          <w:p w14:paraId="7C91A645"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4.9</w:t>
            </w:r>
          </w:p>
        </w:tc>
        <w:tc>
          <w:tcPr>
            <w:tcW w:w="3095" w:type="dxa"/>
          </w:tcPr>
          <w:p w14:paraId="7AA4ADCF" w14:textId="40A8B540"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3</w:t>
            </w:r>
            <w:r>
              <w:rPr>
                <w:rFonts w:ascii="Calibri" w:hAnsi="Calibri" w:cs="Calibri"/>
                <w:color w:val="000000"/>
                <w:kern w:val="0"/>
                <w:sz w:val="22"/>
                <w:szCs w:val="22"/>
              </w:rPr>
              <w:t>.0</w:t>
            </w:r>
          </w:p>
        </w:tc>
        <w:tc>
          <w:tcPr>
            <w:tcW w:w="2845" w:type="dxa"/>
            <w:vMerge/>
          </w:tcPr>
          <w:p w14:paraId="1AACCB13" w14:textId="0CA55538"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18680B70" w14:textId="77777777" w:rsidTr="00F10931">
        <w:trPr>
          <w:trHeight w:val="324"/>
        </w:trPr>
        <w:tc>
          <w:tcPr>
            <w:tcW w:w="1255" w:type="dxa"/>
          </w:tcPr>
          <w:p w14:paraId="36A65ED3"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6</w:t>
            </w:r>
          </w:p>
        </w:tc>
        <w:tc>
          <w:tcPr>
            <w:tcW w:w="1530" w:type="dxa"/>
          </w:tcPr>
          <w:p w14:paraId="2790A131"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8.3</w:t>
            </w:r>
          </w:p>
        </w:tc>
        <w:tc>
          <w:tcPr>
            <w:tcW w:w="3095" w:type="dxa"/>
          </w:tcPr>
          <w:p w14:paraId="728494C9"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11.4</w:t>
            </w:r>
          </w:p>
        </w:tc>
        <w:tc>
          <w:tcPr>
            <w:tcW w:w="2845" w:type="dxa"/>
            <w:vMerge/>
          </w:tcPr>
          <w:p w14:paraId="634CE7DE" w14:textId="25AFCEC7"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66FD554B" w14:textId="77777777" w:rsidTr="00F10931">
        <w:trPr>
          <w:trHeight w:val="324"/>
        </w:trPr>
        <w:tc>
          <w:tcPr>
            <w:tcW w:w="1255" w:type="dxa"/>
          </w:tcPr>
          <w:p w14:paraId="6A8B8EB8"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7</w:t>
            </w:r>
          </w:p>
        </w:tc>
        <w:tc>
          <w:tcPr>
            <w:tcW w:w="1530" w:type="dxa"/>
          </w:tcPr>
          <w:p w14:paraId="06EF0A2E"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5.5</w:t>
            </w:r>
          </w:p>
        </w:tc>
        <w:tc>
          <w:tcPr>
            <w:tcW w:w="3095" w:type="dxa"/>
          </w:tcPr>
          <w:p w14:paraId="1B663851"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6.2</w:t>
            </w:r>
          </w:p>
        </w:tc>
        <w:tc>
          <w:tcPr>
            <w:tcW w:w="2845" w:type="dxa"/>
            <w:vMerge/>
          </w:tcPr>
          <w:p w14:paraId="3B8B3858" w14:textId="31A5B849"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18BFE045" w14:textId="77777777" w:rsidTr="00F10931">
        <w:trPr>
          <w:trHeight w:val="324"/>
        </w:trPr>
        <w:tc>
          <w:tcPr>
            <w:tcW w:w="1255" w:type="dxa"/>
          </w:tcPr>
          <w:p w14:paraId="1FBE0979"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8</w:t>
            </w:r>
          </w:p>
        </w:tc>
        <w:tc>
          <w:tcPr>
            <w:tcW w:w="1530" w:type="dxa"/>
          </w:tcPr>
          <w:p w14:paraId="587E17A9" w14:textId="53B933F8"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18</w:t>
            </w:r>
            <w:r>
              <w:rPr>
                <w:rFonts w:ascii="Calibri" w:hAnsi="Calibri" w:cs="Calibri"/>
                <w:color w:val="000000"/>
                <w:kern w:val="0"/>
                <w:sz w:val="22"/>
                <w:szCs w:val="22"/>
              </w:rPr>
              <w:t>.0</w:t>
            </w:r>
          </w:p>
        </w:tc>
        <w:tc>
          <w:tcPr>
            <w:tcW w:w="3095" w:type="dxa"/>
          </w:tcPr>
          <w:p w14:paraId="785E8AC7"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14.8</w:t>
            </w:r>
          </w:p>
        </w:tc>
        <w:tc>
          <w:tcPr>
            <w:tcW w:w="2845" w:type="dxa"/>
            <w:vMerge/>
          </w:tcPr>
          <w:p w14:paraId="5DFEF312" w14:textId="56BE6F98"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17D0D5B7" w14:textId="77777777" w:rsidTr="00F10931">
        <w:trPr>
          <w:trHeight w:val="324"/>
        </w:trPr>
        <w:tc>
          <w:tcPr>
            <w:tcW w:w="1255" w:type="dxa"/>
          </w:tcPr>
          <w:p w14:paraId="140B6BAB"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9</w:t>
            </w:r>
          </w:p>
        </w:tc>
        <w:tc>
          <w:tcPr>
            <w:tcW w:w="1530" w:type="dxa"/>
          </w:tcPr>
          <w:p w14:paraId="152E463B" w14:textId="77777777"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8.7</w:t>
            </w:r>
          </w:p>
        </w:tc>
        <w:tc>
          <w:tcPr>
            <w:tcW w:w="3095" w:type="dxa"/>
          </w:tcPr>
          <w:p w14:paraId="2B49075F" w14:textId="5C207942"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7</w:t>
            </w:r>
            <w:r>
              <w:rPr>
                <w:rFonts w:ascii="Calibri" w:hAnsi="Calibri" w:cs="Calibri"/>
                <w:color w:val="000000"/>
                <w:kern w:val="0"/>
                <w:sz w:val="22"/>
                <w:szCs w:val="22"/>
              </w:rPr>
              <w:t>.0</w:t>
            </w:r>
          </w:p>
        </w:tc>
        <w:tc>
          <w:tcPr>
            <w:tcW w:w="2845" w:type="dxa"/>
            <w:vMerge/>
          </w:tcPr>
          <w:p w14:paraId="2BAC9B5C" w14:textId="5F2A586F" w:rsidR="00A1195A" w:rsidRDefault="00A1195A" w:rsidP="004A0EBD">
            <w:pPr>
              <w:autoSpaceDE w:val="0"/>
              <w:autoSpaceDN w:val="0"/>
              <w:adjustRightInd w:val="0"/>
              <w:jc w:val="center"/>
              <w:rPr>
                <w:rFonts w:ascii="Calibri" w:hAnsi="Calibri" w:cs="Calibri"/>
                <w:color w:val="000000"/>
                <w:kern w:val="0"/>
                <w:sz w:val="22"/>
                <w:szCs w:val="22"/>
              </w:rPr>
            </w:pPr>
          </w:p>
        </w:tc>
      </w:tr>
      <w:tr w:rsidR="00A1195A" w14:paraId="67D54DB4" w14:textId="77777777" w:rsidTr="00F10931">
        <w:trPr>
          <w:trHeight w:val="324"/>
        </w:trPr>
        <w:tc>
          <w:tcPr>
            <w:tcW w:w="1255" w:type="dxa"/>
          </w:tcPr>
          <w:p w14:paraId="7463676D" w14:textId="2042E2CA"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10</w:t>
            </w:r>
          </w:p>
        </w:tc>
        <w:tc>
          <w:tcPr>
            <w:tcW w:w="1530" w:type="dxa"/>
          </w:tcPr>
          <w:p w14:paraId="2483C8F8" w14:textId="38B64382"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19</w:t>
            </w:r>
            <w:r>
              <w:rPr>
                <w:rFonts w:ascii="Calibri" w:hAnsi="Calibri" w:cs="Calibri"/>
                <w:color w:val="000000"/>
                <w:kern w:val="0"/>
                <w:sz w:val="22"/>
                <w:szCs w:val="22"/>
              </w:rPr>
              <w:t>.0</w:t>
            </w:r>
          </w:p>
        </w:tc>
        <w:tc>
          <w:tcPr>
            <w:tcW w:w="3095" w:type="dxa"/>
          </w:tcPr>
          <w:p w14:paraId="6EC19C0C" w14:textId="30FC90CE" w:rsidR="00A1195A" w:rsidRDefault="00A1195A" w:rsidP="004A0EBD">
            <w:pPr>
              <w:autoSpaceDE w:val="0"/>
              <w:autoSpaceDN w:val="0"/>
              <w:adjustRightInd w:val="0"/>
              <w:jc w:val="center"/>
              <w:rPr>
                <w:rFonts w:ascii="Calibri" w:hAnsi="Calibri" w:cs="Calibri"/>
                <w:color w:val="000000"/>
                <w:kern w:val="0"/>
                <w:sz w:val="22"/>
                <w:szCs w:val="22"/>
              </w:rPr>
            </w:pPr>
            <w:r>
              <w:rPr>
                <w:rFonts w:ascii="Calibri" w:hAnsi="Calibri" w:cs="Calibri"/>
                <w:color w:val="000000"/>
                <w:kern w:val="0"/>
                <w:sz w:val="22"/>
                <w:szCs w:val="22"/>
              </w:rPr>
              <w:t>11.5</w:t>
            </w:r>
          </w:p>
        </w:tc>
        <w:tc>
          <w:tcPr>
            <w:tcW w:w="2845" w:type="dxa"/>
            <w:vMerge/>
          </w:tcPr>
          <w:p w14:paraId="148C5CEB" w14:textId="6E0B8674" w:rsidR="00A1195A" w:rsidRDefault="00A1195A" w:rsidP="004A0EBD">
            <w:pPr>
              <w:autoSpaceDE w:val="0"/>
              <w:autoSpaceDN w:val="0"/>
              <w:adjustRightInd w:val="0"/>
              <w:jc w:val="center"/>
              <w:rPr>
                <w:rFonts w:ascii="Calibri" w:hAnsi="Calibri" w:cs="Calibri"/>
                <w:color w:val="000000"/>
                <w:kern w:val="0"/>
                <w:sz w:val="22"/>
                <w:szCs w:val="22"/>
              </w:rPr>
            </w:pPr>
          </w:p>
        </w:tc>
      </w:tr>
    </w:tbl>
    <w:p w14:paraId="0CFD84AD" w14:textId="77777777" w:rsidR="004A0EBD" w:rsidRDefault="004A0EBD" w:rsidP="004A0EBD">
      <w:pPr>
        <w:jc w:val="center"/>
        <w:rPr>
          <w:b/>
          <w:bCs/>
        </w:rPr>
      </w:pPr>
    </w:p>
    <w:p w14:paraId="0D5F25F5" w14:textId="77777777" w:rsidR="004A0EBD" w:rsidRDefault="004A0EBD">
      <w:pPr>
        <w:rPr>
          <w:b/>
          <w:bCs/>
        </w:rPr>
      </w:pPr>
    </w:p>
    <w:p w14:paraId="36D53F74" w14:textId="31561E0C" w:rsidR="004A0EBD" w:rsidRDefault="00803A1F">
      <w:pPr>
        <w:rPr>
          <w:b/>
          <w:bCs/>
        </w:rPr>
      </w:pPr>
      <w:r w:rsidRPr="00803A1F">
        <w:rPr>
          <w:b/>
          <w:bCs/>
        </w:rPr>
        <w:lastRenderedPageBreak/>
        <w:drawing>
          <wp:inline distT="0" distB="0" distL="0" distR="0" wp14:anchorId="2761E7E3" wp14:editId="6F4EC3B4">
            <wp:extent cx="2433099" cy="1878374"/>
            <wp:effectExtent l="0" t="0" r="5715" b="1270"/>
            <wp:docPr id="274153687"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53687" name="Picture 1" descr="A map of a city&#10;&#10;AI-generated content may be incorrect."/>
                    <pic:cNvPicPr/>
                  </pic:nvPicPr>
                  <pic:blipFill>
                    <a:blip r:embed="rId8"/>
                    <a:stretch>
                      <a:fillRect/>
                    </a:stretch>
                  </pic:blipFill>
                  <pic:spPr>
                    <a:xfrm>
                      <a:off x="0" y="0"/>
                      <a:ext cx="2454853" cy="1895168"/>
                    </a:xfrm>
                    <a:prstGeom prst="rect">
                      <a:avLst/>
                    </a:prstGeom>
                  </pic:spPr>
                </pic:pic>
              </a:graphicData>
            </a:graphic>
          </wp:inline>
        </w:drawing>
      </w:r>
      <w:r w:rsidRPr="00803A1F">
        <w:rPr>
          <w:noProof/>
        </w:rPr>
        <w:t xml:space="preserve"> </w:t>
      </w:r>
      <w:r w:rsidRPr="00803A1F">
        <w:rPr>
          <w:b/>
          <w:bCs/>
        </w:rPr>
        <w:drawing>
          <wp:inline distT="0" distB="0" distL="0" distR="0" wp14:anchorId="4E436BD6" wp14:editId="787E7736">
            <wp:extent cx="2659195" cy="1908313"/>
            <wp:effectExtent l="0" t="0" r="0" b="0"/>
            <wp:docPr id="1173441434" name="Picture 1" descr="A map of the reg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41434" name="Picture 1" descr="A map of the region&#10;&#10;AI-generated content may be incorrect."/>
                    <pic:cNvPicPr/>
                  </pic:nvPicPr>
                  <pic:blipFill>
                    <a:blip r:embed="rId9"/>
                    <a:stretch>
                      <a:fillRect/>
                    </a:stretch>
                  </pic:blipFill>
                  <pic:spPr>
                    <a:xfrm>
                      <a:off x="0" y="0"/>
                      <a:ext cx="2679300" cy="1922741"/>
                    </a:xfrm>
                    <a:prstGeom prst="rect">
                      <a:avLst/>
                    </a:prstGeom>
                  </pic:spPr>
                </pic:pic>
              </a:graphicData>
            </a:graphic>
          </wp:inline>
        </w:drawing>
      </w:r>
    </w:p>
    <w:p w14:paraId="6D0FD550" w14:textId="77777777" w:rsidR="004A0EBD" w:rsidRDefault="004A0EBD">
      <w:pPr>
        <w:rPr>
          <w:b/>
          <w:bCs/>
        </w:rPr>
      </w:pPr>
    </w:p>
    <w:p w14:paraId="451F02C9" w14:textId="2DF00C2D" w:rsidR="00996429" w:rsidRDefault="00996429">
      <w:pPr>
        <w:rPr>
          <w:b/>
          <w:bCs/>
        </w:rPr>
      </w:pPr>
      <w:r w:rsidRPr="00996429">
        <w:rPr>
          <w:b/>
          <w:bCs/>
        </w:rPr>
        <w:t>Discussion</w:t>
      </w:r>
    </w:p>
    <w:p w14:paraId="4B64ECD8" w14:textId="56DF25A4" w:rsidR="00B12D3B" w:rsidRDefault="00B12D3B">
      <w:r>
        <w:t xml:space="preserve">Calculating and presenting tee canopy coverage and health insurance coverage by council district reveals </w:t>
      </w:r>
      <w:r w:rsidR="00682574">
        <w:t>distinct disparities both across and within districts. Tree canopy coverage varies from the least dense district</w:t>
      </w:r>
      <w:r w:rsidR="00803A1F">
        <w:t xml:space="preserve"> (district 1)</w:t>
      </w:r>
      <w:r w:rsidR="00682574">
        <w:t xml:space="preserve"> having less than 2% coverage</w:t>
      </w:r>
      <w:r w:rsidR="00F22F10">
        <w:t xml:space="preserve"> on average</w:t>
      </w:r>
      <w:r w:rsidR="00682574">
        <w:t xml:space="preserve"> to the </w:t>
      </w:r>
      <w:proofErr w:type="gramStart"/>
      <w:r w:rsidR="00682574">
        <w:t>most dense</w:t>
      </w:r>
      <w:proofErr w:type="gramEnd"/>
      <w:r w:rsidR="00682574">
        <w:t xml:space="preserve"> district</w:t>
      </w:r>
      <w:r w:rsidR="00EB1FB0">
        <w:t>s (10 and 4)</w:t>
      </w:r>
      <w:r w:rsidR="00682574">
        <w:t xml:space="preserve"> having almost 20% coverage</w:t>
      </w:r>
      <w:r w:rsidR="00F22F10">
        <w:t xml:space="preserve"> on average</w:t>
      </w:r>
      <w:r w:rsidR="00682574">
        <w:t xml:space="preserve">. One driver of this </w:t>
      </w:r>
      <w:r w:rsidR="00535704">
        <w:t>variation</w:t>
      </w:r>
      <w:r w:rsidR="00682574">
        <w:t xml:space="preserve"> </w:t>
      </w:r>
      <w:proofErr w:type="gramStart"/>
      <w:r w:rsidR="00535704">
        <w:t>are</w:t>
      </w:r>
      <w:proofErr w:type="gramEnd"/>
      <w:r w:rsidR="00682574">
        <w:t xml:space="preserve"> </w:t>
      </w:r>
      <w:proofErr w:type="gramStart"/>
      <w:r w:rsidR="00682574">
        <w:t xml:space="preserve">large </w:t>
      </w:r>
      <w:r w:rsidR="007D4F01">
        <w:t>wooded</w:t>
      </w:r>
      <w:proofErr w:type="gramEnd"/>
      <w:r w:rsidR="007D4F01">
        <w:t xml:space="preserve"> </w:t>
      </w:r>
      <w:r w:rsidR="00682574">
        <w:t>parks</w:t>
      </w:r>
      <w:r w:rsidR="00533904">
        <w:t xml:space="preserve">, for example, </w:t>
      </w:r>
      <w:r w:rsidR="00535704">
        <w:t>d</w:t>
      </w:r>
      <w:r w:rsidR="00533904">
        <w:t xml:space="preserve">istrict 4 contains </w:t>
      </w:r>
      <w:r w:rsidR="007D4F01">
        <w:t>a large portion</w:t>
      </w:r>
      <w:r w:rsidR="00533904">
        <w:t xml:space="preserve"> of </w:t>
      </w:r>
      <w:r w:rsidR="00372E94" w:rsidRPr="00372E94">
        <w:t>Wissahickon Valley Par</w:t>
      </w:r>
      <w:r w:rsidR="00372E94">
        <w:t>k</w:t>
      </w:r>
      <w:r w:rsidR="00533904">
        <w:t xml:space="preserve">, which is a </w:t>
      </w:r>
      <w:r w:rsidR="00372E94">
        <w:t xml:space="preserve">2000 acre park </w:t>
      </w:r>
      <w:r w:rsidR="00535704">
        <w:t>of woods and hiking trails</w:t>
      </w:r>
      <w:r w:rsidR="00533904">
        <w:t xml:space="preserve"> </w:t>
      </w:r>
      <w:r w:rsidR="00682574">
        <w:t>. However, outside of those that contain parks, there are districts with higher coverage. For example, district 3</w:t>
      </w:r>
      <w:r w:rsidR="00DE72DD">
        <w:t>, which does not contain any major parks has</w:t>
      </w:r>
      <w:r w:rsidR="00682574">
        <w:t xml:space="preserve"> 8% coverage. Tree canopy coverage is of high public health importance as trees can both mitigate some of the effects of high temperatures as well as being associated with XX, XX (add in some social outcomes).</w:t>
      </w:r>
      <w:r w:rsidR="00EB1FB0">
        <w:t xml:space="preserve"> Tree canopy coverage is important for city council members to understand as they can have influence over resources to mitigate health effects of heat – for example resources for cooling centers, tree planting, etc. (CITE). </w:t>
      </w:r>
    </w:p>
    <w:p w14:paraId="4B3BA40C" w14:textId="77777777" w:rsidR="00682574" w:rsidRDefault="00682574"/>
    <w:p w14:paraId="10B3768F" w14:textId="7C4DDFBA" w:rsidR="00682574" w:rsidRDefault="00682574">
      <w:r>
        <w:t xml:space="preserve">Health insurance </w:t>
      </w:r>
      <w:r w:rsidR="00EB1FB0">
        <w:t xml:space="preserve">is distributed differently across Philadelphia. The district with the lowest percent of residents lacking coverage was district 4, the same district with high tree canopy coverage, but the district with the highest percentage of residents lacking health insurance was </w:t>
      </w:r>
      <w:r w:rsidR="006616DC">
        <w:t>d</w:t>
      </w:r>
      <w:r w:rsidR="00EB1FB0">
        <w:t>istrict 7. District 7 is also the district with the highest percentage of Hispanic residents, which may contribute to the high percentage of people without health insurance if some residents are undocumented and therefor ineligible for public health insurance. Hispanic people make up the largest ethnicity of undocumented people in the US currently</w:t>
      </w:r>
      <w:r w:rsidR="00C61C8E">
        <w:t xml:space="preserve"> (cite)</w:t>
      </w:r>
      <w:r w:rsidR="00EB1FB0">
        <w:t xml:space="preserve">. While city </w:t>
      </w:r>
      <w:r w:rsidR="00DF0781">
        <w:t>councilors</w:t>
      </w:r>
      <w:r w:rsidR="00EB1FB0">
        <w:t xml:space="preserve"> do not have influence directly over federal health insurance policies, they do have influence over local efforts to provide health care for city residents. </w:t>
      </w:r>
      <w:r w:rsidR="001A140D">
        <w:t>For example, t</w:t>
      </w:r>
      <w:r w:rsidR="00EB1FB0">
        <w:t>hey can lobby for more resources for mobile healthcare outreach</w:t>
      </w:r>
      <w:r w:rsidR="001A140D">
        <w:t xml:space="preserve"> (? Cite)</w:t>
      </w:r>
      <w:r w:rsidR="00EB1FB0">
        <w:t xml:space="preserve">, or </w:t>
      </w:r>
      <w:r w:rsidR="00EB1FB0">
        <w:lastRenderedPageBreak/>
        <w:t xml:space="preserve">push state lawmakers to </w:t>
      </w:r>
      <w:r w:rsidR="00DF0781">
        <w:t>create a public health insurance option for undocumented residents (</w:t>
      </w:r>
      <w:r w:rsidR="001A140D">
        <w:t xml:space="preserve">cite, </w:t>
      </w:r>
      <w:r w:rsidR="00DF0781">
        <w:t xml:space="preserve">is this true?) </w:t>
      </w:r>
    </w:p>
    <w:p w14:paraId="43FE0629" w14:textId="3BA04668" w:rsidR="00EB1FB0" w:rsidRDefault="00EB1FB0"/>
    <w:p w14:paraId="37AB8037" w14:textId="32074A59" w:rsidR="0032577B" w:rsidRPr="00B12D3B" w:rsidRDefault="0032577B">
      <w:r>
        <w:t xml:space="preserve">Understanding both the </w:t>
      </w:r>
      <w:r w:rsidR="00635646">
        <w:t>aggregate metric at the district level as well as the underlying distribution of the metric at a smaller geographic level within a district (e.g., the census tract level)</w:t>
      </w:r>
      <w:r w:rsidR="007579B1">
        <w:t xml:space="preserve"> is important. The district level value gives an understanding where the district stands overall </w:t>
      </w:r>
      <w:proofErr w:type="gramStart"/>
      <w:r w:rsidR="007579B1">
        <w:t xml:space="preserve">and in comparison </w:t>
      </w:r>
      <w:proofErr w:type="gramEnd"/>
      <w:r w:rsidR="007579B1">
        <w:t xml:space="preserve">to other districts. The sub district level helps identify if the need is spread evenly across the district as well as where the areas of highest need are within the district. </w:t>
      </w:r>
      <w:r w:rsidR="007C7F9E">
        <w:t xml:space="preserve"> Furthermore, it has been shown that the </w:t>
      </w:r>
      <w:r w:rsidR="004D2DAD">
        <w:t>political</w:t>
      </w:r>
      <w:r w:rsidR="007C7F9E">
        <w:t xml:space="preserve"> phenomenon of gerrymandering, that is, when politicians draw district boundaries</w:t>
      </w:r>
      <w:r w:rsidR="004D2DAD">
        <w:t xml:space="preserve"> for their own (or their political parties) benefit, can lead to districts with higher internal </w:t>
      </w:r>
      <w:r w:rsidR="00276D19">
        <w:t xml:space="preserve">and or between district variation (cite tamara and </w:t>
      </w:r>
      <w:proofErr w:type="spellStart"/>
      <w:r w:rsidR="00276D19">
        <w:t>alinas</w:t>
      </w:r>
      <w:proofErr w:type="spellEnd"/>
      <w:r w:rsidR="00276D19">
        <w:t xml:space="preserve"> papers).  </w:t>
      </w:r>
      <w:r w:rsidR="00452363">
        <w:t xml:space="preserve">Understanding the underlying distribution of </w:t>
      </w:r>
      <w:r w:rsidR="0063386A">
        <w:t xml:space="preserve">the health metric, at the census tract or </w:t>
      </w:r>
      <w:r w:rsidR="00A14162">
        <w:t>zip code</w:t>
      </w:r>
      <w:r w:rsidR="0063386A">
        <w:t xml:space="preserve"> level, which is often presented in standard public health analyses, </w:t>
      </w:r>
      <w:proofErr w:type="spellStart"/>
      <w:r w:rsidR="0063386A">
        <w:t>along side</w:t>
      </w:r>
      <w:proofErr w:type="spellEnd"/>
      <w:r w:rsidR="0063386A">
        <w:t xml:space="preserve"> the council district level metrics </w:t>
      </w:r>
      <w:r w:rsidR="00034B20">
        <w:t>can show areas with similar levels of exposure or health burden</w:t>
      </w:r>
      <w:r w:rsidR="00A260C8">
        <w:t xml:space="preserve"> that may be split up between districts. This can help to encourage council members to work across districts to address issues that impact members of multiple districts. </w:t>
      </w:r>
      <w:r w:rsidR="00FD378A">
        <w:t xml:space="preserve">Furthermore, understand the average burden across a whole district is important </w:t>
      </w:r>
      <w:r w:rsidR="00BE1480">
        <w:t>for….</w:t>
      </w:r>
    </w:p>
    <w:p w14:paraId="418F32DE" w14:textId="6649910B" w:rsidR="00996429" w:rsidRPr="00996429" w:rsidRDefault="00996429">
      <w:pPr>
        <w:rPr>
          <w:b/>
          <w:bCs/>
        </w:rPr>
      </w:pPr>
      <w:r w:rsidRPr="00996429">
        <w:rPr>
          <w:b/>
          <w:bCs/>
        </w:rPr>
        <w:t>Conclusion</w:t>
      </w:r>
    </w:p>
    <w:p w14:paraId="681D3CC1" w14:textId="4E4DD627" w:rsidR="00996429" w:rsidRDefault="00C22F94">
      <w:r>
        <w:t>Analyzing and reporting public health metrics by local city council districts</w:t>
      </w:r>
      <w:r w:rsidR="00133999">
        <w:t xml:space="preserve"> is feasible using publicly available data and illuminates </w:t>
      </w:r>
      <w:r w:rsidR="00A7096C">
        <w:t xml:space="preserve">inequities at politically relevant </w:t>
      </w:r>
      <w:r w:rsidR="00E47AC7">
        <w:t xml:space="preserve">geographies. </w:t>
      </w:r>
    </w:p>
    <w:sectPr w:rsidR="009964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29"/>
    <w:rsid w:val="00016115"/>
    <w:rsid w:val="0003442D"/>
    <w:rsid w:val="00034B20"/>
    <w:rsid w:val="00045E20"/>
    <w:rsid w:val="00052A27"/>
    <w:rsid w:val="00073182"/>
    <w:rsid w:val="0007518E"/>
    <w:rsid w:val="000B4B4F"/>
    <w:rsid w:val="000C2DE8"/>
    <w:rsid w:val="000D436D"/>
    <w:rsid w:val="00116089"/>
    <w:rsid w:val="00116934"/>
    <w:rsid w:val="00123FDD"/>
    <w:rsid w:val="00125445"/>
    <w:rsid w:val="00133999"/>
    <w:rsid w:val="001570B8"/>
    <w:rsid w:val="00166E01"/>
    <w:rsid w:val="001A140D"/>
    <w:rsid w:val="001B3AF5"/>
    <w:rsid w:val="001C30AA"/>
    <w:rsid w:val="001E1676"/>
    <w:rsid w:val="001E21E7"/>
    <w:rsid w:val="001F280E"/>
    <w:rsid w:val="001F4093"/>
    <w:rsid w:val="001F6B98"/>
    <w:rsid w:val="00202463"/>
    <w:rsid w:val="00237BA3"/>
    <w:rsid w:val="00276D19"/>
    <w:rsid w:val="002B0C8A"/>
    <w:rsid w:val="002C59EC"/>
    <w:rsid w:val="002F06E3"/>
    <w:rsid w:val="00316ABC"/>
    <w:rsid w:val="0032577B"/>
    <w:rsid w:val="00334B69"/>
    <w:rsid w:val="00345B83"/>
    <w:rsid w:val="0036027A"/>
    <w:rsid w:val="00362D95"/>
    <w:rsid w:val="00363A36"/>
    <w:rsid w:val="003644FC"/>
    <w:rsid w:val="00372E94"/>
    <w:rsid w:val="003B03E0"/>
    <w:rsid w:val="003C73DC"/>
    <w:rsid w:val="003C7A07"/>
    <w:rsid w:val="003D0208"/>
    <w:rsid w:val="004054A4"/>
    <w:rsid w:val="00413A1F"/>
    <w:rsid w:val="00446253"/>
    <w:rsid w:val="00452363"/>
    <w:rsid w:val="0045286F"/>
    <w:rsid w:val="00483DB5"/>
    <w:rsid w:val="004A0EBD"/>
    <w:rsid w:val="004D2DAD"/>
    <w:rsid w:val="004D65CC"/>
    <w:rsid w:val="00533904"/>
    <w:rsid w:val="00535704"/>
    <w:rsid w:val="00536DFC"/>
    <w:rsid w:val="0053798A"/>
    <w:rsid w:val="005511E8"/>
    <w:rsid w:val="0057413A"/>
    <w:rsid w:val="005836F5"/>
    <w:rsid w:val="00595838"/>
    <w:rsid w:val="005D62BC"/>
    <w:rsid w:val="005E713D"/>
    <w:rsid w:val="00607E4C"/>
    <w:rsid w:val="0062707D"/>
    <w:rsid w:val="0063386A"/>
    <w:rsid w:val="00635646"/>
    <w:rsid w:val="00635A76"/>
    <w:rsid w:val="0064023C"/>
    <w:rsid w:val="00640518"/>
    <w:rsid w:val="00640ACA"/>
    <w:rsid w:val="006428A3"/>
    <w:rsid w:val="00646F89"/>
    <w:rsid w:val="006616DC"/>
    <w:rsid w:val="00682574"/>
    <w:rsid w:val="00686423"/>
    <w:rsid w:val="006B3FF8"/>
    <w:rsid w:val="006B5269"/>
    <w:rsid w:val="006C2873"/>
    <w:rsid w:val="007147C6"/>
    <w:rsid w:val="00717D7F"/>
    <w:rsid w:val="00753462"/>
    <w:rsid w:val="00754417"/>
    <w:rsid w:val="007579B1"/>
    <w:rsid w:val="00780267"/>
    <w:rsid w:val="0078582C"/>
    <w:rsid w:val="007B0A05"/>
    <w:rsid w:val="007C7F9E"/>
    <w:rsid w:val="007D4F01"/>
    <w:rsid w:val="007E6C60"/>
    <w:rsid w:val="007F0274"/>
    <w:rsid w:val="007F0889"/>
    <w:rsid w:val="007F3951"/>
    <w:rsid w:val="008039CB"/>
    <w:rsid w:val="00803A1F"/>
    <w:rsid w:val="00816268"/>
    <w:rsid w:val="00843438"/>
    <w:rsid w:val="00855202"/>
    <w:rsid w:val="00877E79"/>
    <w:rsid w:val="00890A39"/>
    <w:rsid w:val="008B0270"/>
    <w:rsid w:val="008E694D"/>
    <w:rsid w:val="008F2AEC"/>
    <w:rsid w:val="0095063E"/>
    <w:rsid w:val="0098767F"/>
    <w:rsid w:val="009904B9"/>
    <w:rsid w:val="00996429"/>
    <w:rsid w:val="00A07927"/>
    <w:rsid w:val="00A07CB6"/>
    <w:rsid w:val="00A1195A"/>
    <w:rsid w:val="00A14162"/>
    <w:rsid w:val="00A260C8"/>
    <w:rsid w:val="00A33FB2"/>
    <w:rsid w:val="00A360C6"/>
    <w:rsid w:val="00A7096C"/>
    <w:rsid w:val="00A810BB"/>
    <w:rsid w:val="00A84BBF"/>
    <w:rsid w:val="00AB667C"/>
    <w:rsid w:val="00AF33EC"/>
    <w:rsid w:val="00AF3A45"/>
    <w:rsid w:val="00B02767"/>
    <w:rsid w:val="00B0343E"/>
    <w:rsid w:val="00B12D3B"/>
    <w:rsid w:val="00B24071"/>
    <w:rsid w:val="00B27047"/>
    <w:rsid w:val="00B27230"/>
    <w:rsid w:val="00B33144"/>
    <w:rsid w:val="00B40D32"/>
    <w:rsid w:val="00BC1013"/>
    <w:rsid w:val="00BC3B88"/>
    <w:rsid w:val="00BD4320"/>
    <w:rsid w:val="00BE1480"/>
    <w:rsid w:val="00BE697E"/>
    <w:rsid w:val="00BF07F5"/>
    <w:rsid w:val="00C1552C"/>
    <w:rsid w:val="00C22F94"/>
    <w:rsid w:val="00C3172C"/>
    <w:rsid w:val="00C37C01"/>
    <w:rsid w:val="00C53F72"/>
    <w:rsid w:val="00C61C8E"/>
    <w:rsid w:val="00CD7ED5"/>
    <w:rsid w:val="00CF3DA6"/>
    <w:rsid w:val="00D27189"/>
    <w:rsid w:val="00D30189"/>
    <w:rsid w:val="00D420F6"/>
    <w:rsid w:val="00DB45B4"/>
    <w:rsid w:val="00DC0FDF"/>
    <w:rsid w:val="00DC5CD5"/>
    <w:rsid w:val="00DC6CED"/>
    <w:rsid w:val="00DE72DD"/>
    <w:rsid w:val="00DF0781"/>
    <w:rsid w:val="00E134FD"/>
    <w:rsid w:val="00E14962"/>
    <w:rsid w:val="00E27127"/>
    <w:rsid w:val="00E30369"/>
    <w:rsid w:val="00E47AC7"/>
    <w:rsid w:val="00E6795D"/>
    <w:rsid w:val="00E82B2D"/>
    <w:rsid w:val="00EB0472"/>
    <w:rsid w:val="00EB1FB0"/>
    <w:rsid w:val="00EC1696"/>
    <w:rsid w:val="00EE0CB2"/>
    <w:rsid w:val="00EF418C"/>
    <w:rsid w:val="00F10931"/>
    <w:rsid w:val="00F128EC"/>
    <w:rsid w:val="00F22F10"/>
    <w:rsid w:val="00F24F60"/>
    <w:rsid w:val="00F51521"/>
    <w:rsid w:val="00F82138"/>
    <w:rsid w:val="00F85FBF"/>
    <w:rsid w:val="00F868CD"/>
    <w:rsid w:val="00FD378A"/>
    <w:rsid w:val="00FF170B"/>
    <w:rsid w:val="00FF1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42C47F"/>
  <w15:chartTrackingRefBased/>
  <w15:docId w15:val="{A6E458A4-4289-9743-AB5D-A4B60620F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6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6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6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6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6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429"/>
    <w:rPr>
      <w:rFonts w:eastAsiaTheme="majorEastAsia" w:cstheme="majorBidi"/>
      <w:color w:val="272727" w:themeColor="text1" w:themeTint="D8"/>
    </w:rPr>
  </w:style>
  <w:style w:type="paragraph" w:styleId="Title">
    <w:name w:val="Title"/>
    <w:basedOn w:val="Normal"/>
    <w:next w:val="Normal"/>
    <w:link w:val="TitleChar"/>
    <w:uiPriority w:val="10"/>
    <w:qFormat/>
    <w:rsid w:val="00996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429"/>
    <w:pPr>
      <w:spacing w:before="160"/>
      <w:jc w:val="center"/>
    </w:pPr>
    <w:rPr>
      <w:i/>
      <w:iCs/>
      <w:color w:val="404040" w:themeColor="text1" w:themeTint="BF"/>
    </w:rPr>
  </w:style>
  <w:style w:type="character" w:customStyle="1" w:styleId="QuoteChar">
    <w:name w:val="Quote Char"/>
    <w:basedOn w:val="DefaultParagraphFont"/>
    <w:link w:val="Quote"/>
    <w:uiPriority w:val="29"/>
    <w:rsid w:val="00996429"/>
    <w:rPr>
      <w:i/>
      <w:iCs/>
      <w:color w:val="404040" w:themeColor="text1" w:themeTint="BF"/>
    </w:rPr>
  </w:style>
  <w:style w:type="paragraph" w:styleId="ListParagraph">
    <w:name w:val="List Paragraph"/>
    <w:basedOn w:val="Normal"/>
    <w:uiPriority w:val="34"/>
    <w:qFormat/>
    <w:rsid w:val="00996429"/>
    <w:pPr>
      <w:ind w:left="720"/>
      <w:contextualSpacing/>
    </w:pPr>
  </w:style>
  <w:style w:type="character" w:styleId="IntenseEmphasis">
    <w:name w:val="Intense Emphasis"/>
    <w:basedOn w:val="DefaultParagraphFont"/>
    <w:uiPriority w:val="21"/>
    <w:qFormat/>
    <w:rsid w:val="00996429"/>
    <w:rPr>
      <w:i/>
      <w:iCs/>
      <w:color w:val="0F4761" w:themeColor="accent1" w:themeShade="BF"/>
    </w:rPr>
  </w:style>
  <w:style w:type="paragraph" w:styleId="IntenseQuote">
    <w:name w:val="Intense Quote"/>
    <w:basedOn w:val="Normal"/>
    <w:next w:val="Normal"/>
    <w:link w:val="IntenseQuoteChar"/>
    <w:uiPriority w:val="30"/>
    <w:qFormat/>
    <w:rsid w:val="00996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429"/>
    <w:rPr>
      <w:i/>
      <w:iCs/>
      <w:color w:val="0F4761" w:themeColor="accent1" w:themeShade="BF"/>
    </w:rPr>
  </w:style>
  <w:style w:type="character" w:styleId="IntenseReference">
    <w:name w:val="Intense Reference"/>
    <w:basedOn w:val="DefaultParagraphFont"/>
    <w:uiPriority w:val="32"/>
    <w:qFormat/>
    <w:rsid w:val="00996429"/>
    <w:rPr>
      <w:b/>
      <w:bCs/>
      <w:smallCaps/>
      <w:color w:val="0F4761" w:themeColor="accent1" w:themeShade="BF"/>
      <w:spacing w:val="5"/>
    </w:rPr>
  </w:style>
  <w:style w:type="character" w:styleId="Hyperlink">
    <w:name w:val="Hyperlink"/>
    <w:basedOn w:val="DefaultParagraphFont"/>
    <w:uiPriority w:val="99"/>
    <w:unhideWhenUsed/>
    <w:rsid w:val="00996429"/>
    <w:rPr>
      <w:color w:val="467886" w:themeColor="hyperlink"/>
      <w:u w:val="single"/>
    </w:rPr>
  </w:style>
  <w:style w:type="character" w:styleId="UnresolvedMention">
    <w:name w:val="Unresolved Mention"/>
    <w:basedOn w:val="DefaultParagraphFont"/>
    <w:uiPriority w:val="99"/>
    <w:semiHidden/>
    <w:unhideWhenUsed/>
    <w:rsid w:val="00996429"/>
    <w:rPr>
      <w:color w:val="605E5C"/>
      <w:shd w:val="clear" w:color="auto" w:fill="E1DFDD"/>
    </w:rPr>
  </w:style>
  <w:style w:type="character" w:styleId="FollowedHyperlink">
    <w:name w:val="FollowedHyperlink"/>
    <w:basedOn w:val="DefaultParagraphFont"/>
    <w:uiPriority w:val="99"/>
    <w:semiHidden/>
    <w:unhideWhenUsed/>
    <w:rsid w:val="00996429"/>
    <w:rPr>
      <w:color w:val="96607D" w:themeColor="followedHyperlink"/>
      <w:u w:val="single"/>
    </w:rPr>
  </w:style>
  <w:style w:type="table" w:styleId="TableGrid">
    <w:name w:val="Table Grid"/>
    <w:basedOn w:val="TableNormal"/>
    <w:uiPriority w:val="39"/>
    <w:rsid w:val="00CF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www.rvadirt.com/s/RVA-Health-Inequality-by-District.pdf" TargetMode="External"/><Relationship Id="rId10" Type="http://schemas.openxmlformats.org/officeDocument/2006/relationships/fontTable" Target="fontTable.xml"/><Relationship Id="rId4" Type="http://schemas.openxmlformats.org/officeDocument/2006/relationships/hyperlink" Target="https://drexel-uhc.github.io/philadelphia-council-districts-and-health/?metric=hs_grad_pct" TargetMode="Externa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5</Pages>
  <Words>1438</Words>
  <Characters>8198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Rushovich,Tamara</dc:creator>
  <cp:keywords/>
  <dc:description/>
  <cp:lastModifiedBy>Rushovich,Tamara</cp:lastModifiedBy>
  <cp:revision>45</cp:revision>
  <dcterms:created xsi:type="dcterms:W3CDTF">2025-07-10T17:50:00Z</dcterms:created>
  <dcterms:modified xsi:type="dcterms:W3CDTF">2025-07-14T15:41:00Z</dcterms:modified>
</cp:coreProperties>
</file>