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4A98C" w14:textId="4DF001F7" w:rsidR="007C54F9" w:rsidRDefault="001A3376" w:rsidP="001A3376">
      <w:pPr>
        <w:pStyle w:val="Heading1"/>
      </w:pPr>
      <w:r>
        <w:t>Drexel Urban Health Collaborative Summer Institute- Course options</w:t>
      </w:r>
    </w:p>
    <w:p w14:paraId="25073FAB" w14:textId="17A36597" w:rsidR="001A3376" w:rsidRDefault="001A3376" w:rsidP="001A3376">
      <w:pPr>
        <w:pStyle w:val="Heading2"/>
      </w:pPr>
      <w:r w:rsidRPr="001A3376">
        <w:t>Option 1</w:t>
      </w:r>
    </w:p>
    <w:p w14:paraId="18C02A20" w14:textId="77777777" w:rsidR="001A3376" w:rsidRDefault="001A3376" w:rsidP="001A3376">
      <w:r>
        <w:t xml:space="preserve">Week/Weekend Intensive Courses (in-person or online remote). Each course includes 15 in-class hours of live instruction. Instructors can propose online or in-person courses. </w:t>
      </w:r>
    </w:p>
    <w:p w14:paraId="1478E6A2" w14:textId="58C8570B" w:rsidR="001A3376" w:rsidRDefault="001A3376" w:rsidP="001A3376">
      <w:r>
        <w:t>Courses can be a weekday half-day schedule (mornings or afternoons) or a weekend schedule:</w:t>
      </w:r>
    </w:p>
    <w:p w14:paraId="65363AFA" w14:textId="77777777" w:rsidR="001A3376" w:rsidRDefault="001A3376" w:rsidP="001A3376">
      <w:pPr>
        <w:pStyle w:val="ListParagraph"/>
        <w:numPr>
          <w:ilvl w:val="0"/>
          <w:numId w:val="4"/>
        </w:numPr>
        <w:spacing w:after="0" w:line="240" w:lineRule="auto"/>
      </w:pPr>
      <w:r>
        <w:t>Weekday Mornings Monday-Friday: 9:00 – 12:00 pm</w:t>
      </w:r>
    </w:p>
    <w:p w14:paraId="6C81710B" w14:textId="77777777" w:rsidR="001A3376" w:rsidRDefault="001A3376" w:rsidP="001A3376">
      <w:pPr>
        <w:spacing w:after="0" w:line="240" w:lineRule="auto"/>
      </w:pPr>
    </w:p>
    <w:p w14:paraId="3CDAA63D" w14:textId="77777777" w:rsidR="001A3376" w:rsidRDefault="001A3376" w:rsidP="001A3376">
      <w:pPr>
        <w:pStyle w:val="ListParagraph"/>
        <w:numPr>
          <w:ilvl w:val="0"/>
          <w:numId w:val="4"/>
        </w:numPr>
        <w:spacing w:after="0" w:line="240" w:lineRule="auto"/>
      </w:pPr>
      <w:r>
        <w:t>Weekday Afternoons Monday-Friday: 1:00 – 4:00 pm</w:t>
      </w:r>
    </w:p>
    <w:p w14:paraId="2B2833B9" w14:textId="77777777" w:rsidR="001A3376" w:rsidRDefault="001A3376" w:rsidP="001A3376">
      <w:pPr>
        <w:spacing w:after="0" w:line="240" w:lineRule="auto"/>
      </w:pPr>
    </w:p>
    <w:p w14:paraId="40551793" w14:textId="77777777" w:rsidR="001A3376" w:rsidRDefault="001A3376" w:rsidP="001A3376">
      <w:pPr>
        <w:pStyle w:val="ListParagraph"/>
        <w:numPr>
          <w:ilvl w:val="0"/>
          <w:numId w:val="4"/>
        </w:numPr>
        <w:spacing w:after="0" w:line="240" w:lineRule="auto"/>
      </w:pPr>
      <w:r>
        <w:t>Weekend, Friday: 1:00 – 4:00 pm, Sat and Sunday: 9:00 – 4:00 pm (with hour lunch break) ONLINE ONLY</w:t>
      </w:r>
    </w:p>
    <w:p w14:paraId="1B76344D" w14:textId="77777777" w:rsidR="001A3376" w:rsidRDefault="001A3376" w:rsidP="001A3376"/>
    <w:p w14:paraId="20C135E8" w14:textId="58AA55BF" w:rsidR="001A3376" w:rsidRDefault="001A3376" w:rsidP="001A3376">
      <w:r>
        <w:t>Courses formats</w:t>
      </w:r>
    </w:p>
    <w:p w14:paraId="700DA351" w14:textId="77777777" w:rsidR="001A3376" w:rsidRDefault="001A3376" w:rsidP="001A3376">
      <w:pPr>
        <w:pStyle w:val="ListParagraph"/>
        <w:numPr>
          <w:ilvl w:val="0"/>
          <w:numId w:val="3"/>
        </w:numPr>
      </w:pPr>
      <w:r>
        <w:t>Remote instruction (online synchronous)</w:t>
      </w:r>
    </w:p>
    <w:p w14:paraId="53DB8E65" w14:textId="77777777" w:rsidR="001A3376" w:rsidRDefault="001A3376" w:rsidP="001A3376">
      <w:pPr>
        <w:pStyle w:val="ListParagraph"/>
        <w:numPr>
          <w:ilvl w:val="0"/>
          <w:numId w:val="3"/>
        </w:numPr>
      </w:pPr>
      <w:r>
        <w:t xml:space="preserve">In-person instruction (dependent on </w:t>
      </w:r>
      <w:proofErr w:type="gramStart"/>
      <w:r>
        <w:t>University</w:t>
      </w:r>
      <w:proofErr w:type="gramEnd"/>
      <w:r>
        <w:t xml:space="preserve"> restrictions)</w:t>
      </w:r>
    </w:p>
    <w:p w14:paraId="7E031088" w14:textId="77777777" w:rsidR="001A3376" w:rsidRDefault="001A3376" w:rsidP="001A3376">
      <w:pPr>
        <w:pStyle w:val="ListParagraph"/>
        <w:numPr>
          <w:ilvl w:val="0"/>
          <w:numId w:val="3"/>
        </w:numPr>
      </w:pPr>
      <w:r>
        <w:t>Hybrid instruction (per course proposals from instructors)</w:t>
      </w:r>
    </w:p>
    <w:p w14:paraId="5545AA9E" w14:textId="77777777" w:rsidR="001A3376" w:rsidRDefault="001A3376" w:rsidP="001A3376">
      <w:r>
        <w:t>Compensation:</w:t>
      </w:r>
    </w:p>
    <w:p w14:paraId="1B433EB7" w14:textId="77777777" w:rsidR="001A3376" w:rsidRDefault="001A3376" w:rsidP="001A3376">
      <w:pPr>
        <w:pStyle w:val="ListParagraph"/>
        <w:numPr>
          <w:ilvl w:val="0"/>
          <w:numId w:val="5"/>
        </w:numPr>
      </w:pPr>
      <w:r>
        <w:t>Individual Instructors: $2,500</w:t>
      </w:r>
    </w:p>
    <w:p w14:paraId="7DC9AE0C" w14:textId="77777777" w:rsidR="001A3376" w:rsidRDefault="001A3376" w:rsidP="001A3376">
      <w:pPr>
        <w:pStyle w:val="ListParagraph"/>
        <w:numPr>
          <w:ilvl w:val="0"/>
          <w:numId w:val="5"/>
        </w:numPr>
      </w:pPr>
      <w:r>
        <w:t>Multiple Instructors: $3,500 divided among instructors</w:t>
      </w:r>
    </w:p>
    <w:p w14:paraId="7DEB7706" w14:textId="75408077" w:rsidR="001A3376" w:rsidRDefault="001A3376" w:rsidP="001A3376">
      <w:r>
        <w:t xml:space="preserve"> Teaching Assistants (TAs): Requests for Tas will be considered pending availability of funds and for courses with a minimum of 10 registered participants based on justification and a description of the TA’s duties from the instructor (</w:t>
      </w:r>
      <w:proofErr w:type="gramStart"/>
      <w:r>
        <w:t>e.g.</w:t>
      </w:r>
      <w:proofErr w:type="gramEnd"/>
      <w:r>
        <w:t xml:space="preserve"> lab courses with a defined role for a TA).</w:t>
      </w:r>
    </w:p>
    <w:p w14:paraId="4D420E5A" w14:textId="77777777" w:rsidR="001A3376" w:rsidRDefault="001A3376" w:rsidP="001A3376"/>
    <w:p w14:paraId="151C3798" w14:textId="77777777" w:rsidR="001A3376" w:rsidRDefault="001A3376" w:rsidP="001A3376">
      <w:pPr>
        <w:pStyle w:val="Heading2"/>
      </w:pPr>
      <w:r>
        <w:t xml:space="preserve"> Option 2</w:t>
      </w:r>
    </w:p>
    <w:p w14:paraId="2E4AAA21" w14:textId="77777777" w:rsidR="001A3376" w:rsidRDefault="001A3376" w:rsidP="001A3376">
      <w:r>
        <w:t xml:space="preserve">Half-day and Full-day Short Courses (in-person or online remote) Each course includes 3-6 in-class hours of live instruction. Instructors can propose online or in-person courses. </w:t>
      </w:r>
    </w:p>
    <w:p w14:paraId="46E148E7" w14:textId="0602A398" w:rsidR="001A3376" w:rsidRDefault="001A3376" w:rsidP="001A3376">
      <w:r>
        <w:t>Courses can be a weekday or a weekend schedule:</w:t>
      </w:r>
    </w:p>
    <w:p w14:paraId="37DF49DD" w14:textId="77777777" w:rsidR="001A3376" w:rsidRDefault="001A3376" w:rsidP="001A3376">
      <w:pPr>
        <w:pStyle w:val="ListParagraph"/>
        <w:numPr>
          <w:ilvl w:val="0"/>
          <w:numId w:val="6"/>
        </w:numPr>
      </w:pPr>
      <w:r>
        <w:t xml:space="preserve">Half-day Weekday Morning (3 </w:t>
      </w:r>
      <w:proofErr w:type="spellStart"/>
      <w:r>
        <w:t>hrs</w:t>
      </w:r>
      <w:proofErr w:type="spellEnd"/>
      <w:r>
        <w:t>): 9:00 – 12:00 pm</w:t>
      </w:r>
    </w:p>
    <w:p w14:paraId="0C21867E" w14:textId="77777777" w:rsidR="001A3376" w:rsidRDefault="001A3376" w:rsidP="001A3376">
      <w:pPr>
        <w:pStyle w:val="ListParagraph"/>
        <w:numPr>
          <w:ilvl w:val="0"/>
          <w:numId w:val="6"/>
        </w:numPr>
      </w:pPr>
      <w:r>
        <w:t xml:space="preserve">Half-day Weekday Afternoon (3 </w:t>
      </w:r>
      <w:proofErr w:type="spellStart"/>
      <w:r>
        <w:t>hrs</w:t>
      </w:r>
      <w:proofErr w:type="spellEnd"/>
      <w:r>
        <w:t>): 1:00 – 4:00 pm</w:t>
      </w:r>
    </w:p>
    <w:p w14:paraId="7D315621" w14:textId="77777777" w:rsidR="001A3376" w:rsidRDefault="001A3376" w:rsidP="001A3376">
      <w:pPr>
        <w:pStyle w:val="ListParagraph"/>
        <w:numPr>
          <w:ilvl w:val="0"/>
          <w:numId w:val="6"/>
        </w:numPr>
      </w:pPr>
      <w:r>
        <w:t xml:space="preserve">Full-day Weekday (6 </w:t>
      </w:r>
      <w:proofErr w:type="spellStart"/>
      <w:r>
        <w:t>hrs</w:t>
      </w:r>
      <w:proofErr w:type="spellEnd"/>
      <w:r>
        <w:t>): 9:00 – 4:00 pm (with hour lunch break)</w:t>
      </w:r>
    </w:p>
    <w:p w14:paraId="68C21F54" w14:textId="77777777" w:rsidR="001A3376" w:rsidRDefault="001A3376" w:rsidP="001A3376">
      <w:pPr>
        <w:pStyle w:val="ListParagraph"/>
        <w:numPr>
          <w:ilvl w:val="0"/>
          <w:numId w:val="6"/>
        </w:numPr>
      </w:pPr>
      <w:r>
        <w:t xml:space="preserve">Full Day Weekend (6 </w:t>
      </w:r>
      <w:proofErr w:type="spellStart"/>
      <w:r>
        <w:t>hrs</w:t>
      </w:r>
      <w:proofErr w:type="spellEnd"/>
      <w:r>
        <w:t xml:space="preserve">): 9:00 – 4:00 pm (with hour lunch break) ONLINE ONLY </w:t>
      </w:r>
    </w:p>
    <w:p w14:paraId="7A38D6B8" w14:textId="77777777" w:rsidR="001A3376" w:rsidRDefault="001A3376" w:rsidP="001A3376">
      <w:r>
        <w:t>Course formats:</w:t>
      </w:r>
    </w:p>
    <w:p w14:paraId="127BCADE" w14:textId="77777777" w:rsidR="001A3376" w:rsidRDefault="001A3376" w:rsidP="001A3376">
      <w:pPr>
        <w:pStyle w:val="ListParagraph"/>
        <w:numPr>
          <w:ilvl w:val="0"/>
          <w:numId w:val="7"/>
        </w:numPr>
      </w:pPr>
      <w:r>
        <w:t>Remote instruction (online synchronous)</w:t>
      </w:r>
    </w:p>
    <w:p w14:paraId="6EC522CE" w14:textId="77777777" w:rsidR="001A3376" w:rsidRDefault="001A3376" w:rsidP="001A3376">
      <w:pPr>
        <w:pStyle w:val="ListParagraph"/>
        <w:numPr>
          <w:ilvl w:val="0"/>
          <w:numId w:val="7"/>
        </w:numPr>
      </w:pPr>
      <w:r>
        <w:t xml:space="preserve">In-person instruction (dependent on </w:t>
      </w:r>
      <w:proofErr w:type="gramStart"/>
      <w:r>
        <w:t>University</w:t>
      </w:r>
      <w:proofErr w:type="gramEnd"/>
      <w:r>
        <w:t xml:space="preserve"> restrictions)</w:t>
      </w:r>
    </w:p>
    <w:p w14:paraId="1BD53A64" w14:textId="77777777" w:rsidR="001A3376" w:rsidRDefault="001A3376" w:rsidP="001A3376"/>
    <w:p w14:paraId="2442A6F3" w14:textId="2D725D4B" w:rsidR="001A3376" w:rsidRDefault="001A3376" w:rsidP="001A3376">
      <w:r>
        <w:lastRenderedPageBreak/>
        <w:t xml:space="preserve"> Compensation:</w:t>
      </w:r>
    </w:p>
    <w:p w14:paraId="5036D9FF" w14:textId="77777777" w:rsidR="001A3376" w:rsidRDefault="001A3376" w:rsidP="001A3376">
      <w:pPr>
        <w:pStyle w:val="ListParagraph"/>
        <w:numPr>
          <w:ilvl w:val="0"/>
          <w:numId w:val="8"/>
        </w:numPr>
      </w:pPr>
      <w:r>
        <w:t>Instructor development and facilitation: $300 (for 3 hours) $600 (for 6 hours)</w:t>
      </w:r>
    </w:p>
    <w:p w14:paraId="6355E8FF" w14:textId="77777777" w:rsidR="001A3376" w:rsidRDefault="001A3376" w:rsidP="001A3376">
      <w:r>
        <w:t xml:space="preserve"> </w:t>
      </w:r>
    </w:p>
    <w:p w14:paraId="603FAC81" w14:textId="05C9B6EB" w:rsidR="001A3376" w:rsidRDefault="001A3376" w:rsidP="001A3376">
      <w:pPr>
        <w:pStyle w:val="Heading2"/>
      </w:pPr>
      <w:r>
        <w:t>Option 3</w:t>
      </w:r>
    </w:p>
    <w:p w14:paraId="15A43C87" w14:textId="3B7A5C9C" w:rsidR="001A3376" w:rsidRDefault="001A3376" w:rsidP="001A3376">
      <w:r>
        <w:t xml:space="preserve"> Other Course Schedule</w:t>
      </w:r>
    </w:p>
    <w:p w14:paraId="5C9047A4" w14:textId="7EAADAED" w:rsidR="001A3376" w:rsidRDefault="001A3376" w:rsidP="001A3376">
      <w:r>
        <w:t>I</w:t>
      </w:r>
      <w:r>
        <w:t xml:space="preserve">nstructors may propose course schedules that vary from Options 1-3 above. We will consider on a case-by-case basis. Instructor compensation will be determined based on hours and format of instruction. </w:t>
      </w:r>
    </w:p>
    <w:p w14:paraId="2619478E" w14:textId="77777777" w:rsidR="001A3376" w:rsidRDefault="001A3376" w:rsidP="001A3376"/>
    <w:p w14:paraId="32DAD86C" w14:textId="77777777" w:rsidR="001A3376" w:rsidRDefault="001A3376" w:rsidP="001A3376">
      <w:r>
        <w:t xml:space="preserve"> </w:t>
      </w:r>
    </w:p>
    <w:p w14:paraId="0B884789" w14:textId="1D36C0F5" w:rsidR="001A3376" w:rsidRPr="001A3376" w:rsidRDefault="001A3376" w:rsidP="001A3376">
      <w:pPr>
        <w:rPr>
          <w:b/>
          <w:bCs/>
        </w:rPr>
      </w:pPr>
      <w:r w:rsidRPr="001A3376">
        <w:rPr>
          <w:b/>
          <w:bCs/>
        </w:rPr>
        <w:t>All proposed courses will be considered, but we will prioritize courses that align with the mission of the UHC; are highly relevant for urban health research, practice, or policy; and are skills-based.</w:t>
      </w:r>
    </w:p>
    <w:p w14:paraId="30DDF713" w14:textId="76C13C1E" w:rsidR="001A3376" w:rsidRDefault="001A3376" w:rsidP="00666143"/>
    <w:p w14:paraId="6E2C4F5F" w14:textId="34EDE5D3" w:rsidR="001A3376" w:rsidRDefault="001A3376" w:rsidP="00666143"/>
    <w:p w14:paraId="2596A24D" w14:textId="2BABADBC" w:rsidR="001A3376" w:rsidRDefault="001A3376" w:rsidP="001A3376">
      <w:pPr>
        <w:pStyle w:val="Heading1"/>
      </w:pPr>
      <w:r>
        <w:t>Notes from the meeting discussion about ideas for the course</w:t>
      </w:r>
    </w:p>
    <w:p w14:paraId="51F46649" w14:textId="77777777" w:rsidR="001A3376" w:rsidRPr="001A3376" w:rsidRDefault="001A3376" w:rsidP="001A3376">
      <w:pPr>
        <w:pStyle w:val="Heading2"/>
        <w:rPr>
          <w:rFonts w:eastAsia="Times New Roman"/>
        </w:rPr>
      </w:pPr>
      <w:r w:rsidRPr="001A3376">
        <w:rPr>
          <w:rFonts w:eastAsia="Times New Roman"/>
        </w:rPr>
        <w:t>Summer School Workshop</w:t>
      </w:r>
    </w:p>
    <w:p w14:paraId="2804E373"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Internal proposal for a summer school workshop, short course.  Proposal due 14 Jan.  Would take place in June.  Helping researchers etc. make their data FAIR.</w:t>
      </w:r>
    </w:p>
    <w:p w14:paraId="5E967FF4" w14:textId="77777777" w:rsidR="001A3376" w:rsidRPr="001A3376" w:rsidRDefault="001A3376" w:rsidP="001A3376">
      <w:pPr>
        <w:spacing w:after="0" w:line="240" w:lineRule="auto"/>
        <w:rPr>
          <w:rFonts w:eastAsia="Times New Roman" w:cstheme="minorHAnsi"/>
          <w:color w:val="000000"/>
        </w:rPr>
      </w:pPr>
    </w:p>
    <w:p w14:paraId="4EB790ED" w14:textId="7F303C04" w:rsidR="001A3376" w:rsidRDefault="001A3376" w:rsidP="001A3376">
      <w:pPr>
        <w:spacing w:after="0" w:line="240" w:lineRule="auto"/>
        <w:rPr>
          <w:rFonts w:eastAsia="Times New Roman" w:cstheme="minorHAnsi"/>
          <w:color w:val="000000"/>
        </w:rPr>
      </w:pPr>
      <w:r w:rsidRPr="001A3376">
        <w:rPr>
          <w:rFonts w:eastAsia="Times New Roman" w:cstheme="minorHAnsi"/>
          <w:color w:val="000000"/>
        </w:rPr>
        <w:t xml:space="preserve">Summary of the NIH policy: good summary of the new NIH policy change: </w:t>
      </w:r>
      <w:hyperlink r:id="rId5" w:history="1">
        <w:r w:rsidRPr="004970B9">
          <w:rPr>
            <w:rStyle w:val="Hyperlink"/>
            <w:rFonts w:eastAsia="Times New Roman" w:cstheme="minorHAnsi"/>
          </w:rPr>
          <w:t>https://data.library.arizona.edu/data-management/nih-data-management-sharing-policy-2023</w:t>
        </w:r>
      </w:hyperlink>
    </w:p>
    <w:p w14:paraId="733FB367" w14:textId="77777777" w:rsidR="001A3376" w:rsidRPr="001A3376" w:rsidRDefault="001A3376" w:rsidP="001A3376">
      <w:pPr>
        <w:spacing w:after="0" w:line="240" w:lineRule="auto"/>
        <w:rPr>
          <w:rFonts w:eastAsia="Times New Roman" w:cstheme="minorHAnsi"/>
          <w:color w:val="000000"/>
        </w:rPr>
      </w:pPr>
    </w:p>
    <w:p w14:paraId="12E80A75"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Ideas:</w:t>
      </w:r>
    </w:p>
    <w:p w14:paraId="6AE5F787"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 xml:space="preserve">Why care? Now an important component of the proposal, you won’t get funded if </w:t>
      </w:r>
    </w:p>
    <w:p w14:paraId="1355EBC2"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NIH requirements.</w:t>
      </w:r>
    </w:p>
    <w:p w14:paraId="624232BD"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What is FAIR? - GO FAIR US?</w:t>
      </w:r>
    </w:p>
    <w:p w14:paraId="20A15E85"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How to make data and metadata FAIR (principles) - GO FAIR US? Jane Greenberg?</w:t>
      </w:r>
    </w:p>
    <w:p w14:paraId="69B3D055"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Data stewardship plans / DMPs - CODATA-RDA Schools?</w:t>
      </w:r>
    </w:p>
    <w:p w14:paraId="324C39AD"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 xml:space="preserve">Introduction to metadata (CODATA data schools, DDI) - DDI community, </w:t>
      </w:r>
      <w:proofErr w:type="spellStart"/>
      <w:r w:rsidRPr="001A3376">
        <w:rPr>
          <w:rFonts w:eastAsia="Times New Roman" w:cstheme="minorHAnsi"/>
          <w:color w:val="000000"/>
        </w:rPr>
        <w:t>Arofan</w:t>
      </w:r>
      <w:proofErr w:type="spellEnd"/>
      <w:r w:rsidRPr="001A3376">
        <w:rPr>
          <w:rFonts w:eastAsia="Times New Roman" w:cstheme="minorHAnsi"/>
          <w:color w:val="000000"/>
        </w:rPr>
        <w:t>.</w:t>
      </w:r>
    </w:p>
    <w:p w14:paraId="314D71CC" w14:textId="77777777" w:rsidR="001A3376" w:rsidRPr="001A3376" w:rsidRDefault="001A3376" w:rsidP="001A3376">
      <w:pPr>
        <w:spacing w:after="0" w:line="240" w:lineRule="auto"/>
        <w:rPr>
          <w:rFonts w:eastAsia="Times New Roman" w:cstheme="minorHAnsi"/>
          <w:color w:val="000000"/>
        </w:rPr>
      </w:pPr>
      <w:proofErr w:type="spellStart"/>
      <w:r w:rsidRPr="001A3376">
        <w:rPr>
          <w:rFonts w:eastAsia="Times New Roman" w:cstheme="minorHAnsi"/>
          <w:color w:val="000000"/>
        </w:rPr>
        <w:t>Harmonisation</w:t>
      </w:r>
      <w:proofErr w:type="spellEnd"/>
      <w:r w:rsidRPr="001A3376">
        <w:rPr>
          <w:rFonts w:eastAsia="Times New Roman" w:cstheme="minorHAnsi"/>
          <w:color w:val="000000"/>
        </w:rPr>
        <w:t xml:space="preserve"> and interoperability?  </w:t>
      </w:r>
      <w:proofErr w:type="spellStart"/>
      <w:r w:rsidRPr="001A3376">
        <w:rPr>
          <w:rFonts w:eastAsia="Times New Roman" w:cstheme="minorHAnsi"/>
          <w:color w:val="000000"/>
        </w:rPr>
        <w:t>Salurbal</w:t>
      </w:r>
      <w:proofErr w:type="spellEnd"/>
      <w:r w:rsidRPr="001A3376">
        <w:rPr>
          <w:rFonts w:eastAsia="Times New Roman" w:cstheme="minorHAnsi"/>
          <w:color w:val="000000"/>
        </w:rPr>
        <w:t xml:space="preserve"> experience. - </w:t>
      </w:r>
      <w:proofErr w:type="spellStart"/>
      <w:r w:rsidRPr="001A3376">
        <w:rPr>
          <w:rFonts w:eastAsia="Times New Roman" w:cstheme="minorHAnsi"/>
          <w:color w:val="000000"/>
        </w:rPr>
        <w:t>Salurbal</w:t>
      </w:r>
      <w:proofErr w:type="spellEnd"/>
      <w:r w:rsidRPr="001A3376">
        <w:rPr>
          <w:rFonts w:eastAsia="Times New Roman" w:cstheme="minorHAnsi"/>
          <w:color w:val="000000"/>
        </w:rPr>
        <w:t>, technical and science leads.</w:t>
      </w:r>
    </w:p>
    <w:p w14:paraId="031371AF"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 xml:space="preserve">Data privacy and protection. - ? </w:t>
      </w:r>
    </w:p>
    <w:p w14:paraId="1BFD007F"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CARE and related principles to do with respect for subjects.</w:t>
      </w:r>
    </w:p>
    <w:p w14:paraId="5408CB46"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 xml:space="preserve">Impact and benefit from the </w:t>
      </w:r>
      <w:proofErr w:type="gramStart"/>
      <w:r w:rsidRPr="001A3376">
        <w:rPr>
          <w:rFonts w:eastAsia="Times New Roman" w:cstheme="minorHAnsi"/>
          <w:color w:val="000000"/>
        </w:rPr>
        <w:t>researchers</w:t>
      </w:r>
      <w:proofErr w:type="gramEnd"/>
      <w:r w:rsidRPr="001A3376">
        <w:rPr>
          <w:rFonts w:eastAsia="Times New Roman" w:cstheme="minorHAnsi"/>
          <w:color w:val="000000"/>
        </w:rPr>
        <w:t xml:space="preserve"> perspective.</w:t>
      </w:r>
    </w:p>
    <w:p w14:paraId="706B23AE" w14:textId="77777777" w:rsidR="001A3376" w:rsidRPr="001A3376" w:rsidRDefault="001A3376" w:rsidP="001A3376">
      <w:pPr>
        <w:spacing w:after="0" w:line="240" w:lineRule="auto"/>
        <w:rPr>
          <w:rFonts w:eastAsia="Times New Roman" w:cstheme="minorHAnsi"/>
          <w:color w:val="000000"/>
        </w:rPr>
      </w:pPr>
    </w:p>
    <w:p w14:paraId="5944AF96"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Remind the researchers that there is a reason to pay attention.</w:t>
      </w:r>
    </w:p>
    <w:p w14:paraId="3B11048E" w14:textId="77777777" w:rsidR="001A3376" w:rsidRPr="001A3376" w:rsidRDefault="001A3376" w:rsidP="001A3376">
      <w:pPr>
        <w:spacing w:after="0" w:line="240" w:lineRule="auto"/>
        <w:rPr>
          <w:rFonts w:eastAsia="Times New Roman" w:cstheme="minorHAnsi"/>
          <w:color w:val="000000"/>
        </w:rPr>
      </w:pPr>
    </w:p>
    <w:p w14:paraId="75C13F90"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Instructors:</w:t>
      </w:r>
    </w:p>
    <w:p w14:paraId="11B072CC"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Ran</w:t>
      </w:r>
    </w:p>
    <w:p w14:paraId="3930BCC6"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 xml:space="preserve">Teresa as a co-instructor.  CARE. Has also been involved in teaching online.  </w:t>
      </w:r>
      <w:proofErr w:type="spellStart"/>
      <w:r w:rsidRPr="001A3376">
        <w:rPr>
          <w:rFonts w:eastAsia="Times New Roman" w:cstheme="minorHAnsi"/>
          <w:color w:val="000000"/>
        </w:rPr>
        <w:t>Harmonisation</w:t>
      </w:r>
      <w:proofErr w:type="spellEnd"/>
      <w:r w:rsidRPr="001A3376">
        <w:rPr>
          <w:rFonts w:eastAsia="Times New Roman" w:cstheme="minorHAnsi"/>
          <w:color w:val="000000"/>
        </w:rPr>
        <w:t xml:space="preserve"> and interoperability.  Embedded bias in terminologies.</w:t>
      </w:r>
    </w:p>
    <w:p w14:paraId="0266FD39"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lastRenderedPageBreak/>
        <w:t>Recording virtual sessions.</w:t>
      </w:r>
    </w:p>
    <w:p w14:paraId="440D131A"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Record onsite?  Cost?</w:t>
      </w:r>
    </w:p>
    <w:p w14:paraId="44A2AA68"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Pre-recording for self-paced course.</w:t>
      </w:r>
    </w:p>
    <w:p w14:paraId="2F704015"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 xml:space="preserve">Registration fee - how is this scaled. Can the </w:t>
      </w:r>
      <w:proofErr w:type="spellStart"/>
      <w:r w:rsidRPr="001A3376">
        <w:rPr>
          <w:rFonts w:eastAsia="Times New Roman" w:cstheme="minorHAnsi"/>
          <w:color w:val="000000"/>
        </w:rPr>
        <w:t>organisers</w:t>
      </w:r>
      <w:proofErr w:type="spellEnd"/>
      <w:r w:rsidRPr="001A3376">
        <w:rPr>
          <w:rFonts w:eastAsia="Times New Roman" w:cstheme="minorHAnsi"/>
          <w:color w:val="000000"/>
        </w:rPr>
        <w:t xml:space="preserve"> use any of these funds for instructors or equipment?</w:t>
      </w:r>
    </w:p>
    <w:p w14:paraId="0057397A"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Assessment</w:t>
      </w:r>
    </w:p>
    <w:p w14:paraId="2D44BA9D"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VLE platform at Drexel?  CODATA-RDA used Moodle and have materials pre-prepared for Moodle.</w:t>
      </w:r>
    </w:p>
    <w:p w14:paraId="40B7E2D7" w14:textId="77777777" w:rsidR="001A3376" w:rsidRPr="001A3376" w:rsidRDefault="001A3376" w:rsidP="001A3376">
      <w:pPr>
        <w:spacing w:after="0" w:line="240" w:lineRule="auto"/>
        <w:rPr>
          <w:rFonts w:eastAsia="Times New Roman" w:cstheme="minorHAnsi"/>
          <w:color w:val="000000"/>
        </w:rPr>
      </w:pPr>
    </w:p>
    <w:p w14:paraId="71285996" w14:textId="77777777" w:rsidR="001A3376" w:rsidRPr="001A3376" w:rsidRDefault="001A3376" w:rsidP="001A3376">
      <w:pPr>
        <w:spacing w:after="0" w:line="240" w:lineRule="auto"/>
        <w:rPr>
          <w:rFonts w:eastAsia="Times New Roman" w:cstheme="minorHAnsi"/>
          <w:color w:val="000000"/>
        </w:rPr>
      </w:pPr>
    </w:p>
    <w:p w14:paraId="3401D58A" w14:textId="77777777" w:rsidR="001A3376" w:rsidRPr="001A3376" w:rsidRDefault="001A3376" w:rsidP="001A3376">
      <w:pPr>
        <w:spacing w:after="0" w:line="240" w:lineRule="auto"/>
        <w:rPr>
          <w:rFonts w:eastAsia="Times New Roman" w:cstheme="minorHAnsi"/>
          <w:b/>
          <w:bCs/>
          <w:color w:val="000000"/>
        </w:rPr>
      </w:pPr>
      <w:r w:rsidRPr="001A3376">
        <w:rPr>
          <w:rFonts w:eastAsia="Times New Roman" w:cstheme="minorHAnsi"/>
          <w:b/>
          <w:bCs/>
          <w:color w:val="000000"/>
        </w:rPr>
        <w:t>WP08 Deliverables</w:t>
      </w:r>
    </w:p>
    <w:p w14:paraId="4569E753" w14:textId="77777777" w:rsidR="001A3376" w:rsidRPr="001A3376" w:rsidRDefault="001A3376" w:rsidP="001A3376">
      <w:pPr>
        <w:spacing w:after="0" w:line="240" w:lineRule="auto"/>
        <w:rPr>
          <w:rFonts w:eastAsia="Times New Roman" w:cstheme="minorHAnsi"/>
          <w:b/>
          <w:bCs/>
          <w:color w:val="000000"/>
        </w:rPr>
      </w:pPr>
      <w:r w:rsidRPr="001A3376">
        <w:rPr>
          <w:rFonts w:eastAsia="Times New Roman" w:cstheme="minorHAnsi"/>
          <w:b/>
          <w:bCs/>
          <w:color w:val="000000"/>
        </w:rPr>
        <w:t>This can help towards D8.2</w:t>
      </w:r>
    </w:p>
    <w:p w14:paraId="0ADC2CFA" w14:textId="77777777" w:rsidR="001A3376" w:rsidRPr="001A3376" w:rsidRDefault="001A3376" w:rsidP="001A3376">
      <w:pPr>
        <w:spacing w:after="0" w:line="240" w:lineRule="auto"/>
        <w:rPr>
          <w:rFonts w:eastAsia="Times New Roman" w:cstheme="minorHAnsi"/>
          <w:color w:val="000000"/>
        </w:rPr>
      </w:pPr>
    </w:p>
    <w:p w14:paraId="3BB633C9" w14:textId="77777777" w:rsidR="001A3376" w:rsidRPr="001A3376" w:rsidRDefault="001A3376" w:rsidP="001A3376">
      <w:pPr>
        <w:spacing w:after="0" w:line="240" w:lineRule="auto"/>
        <w:rPr>
          <w:rFonts w:eastAsia="Times New Roman" w:cstheme="minorHAnsi"/>
          <w:b/>
          <w:bCs/>
          <w:color w:val="000000"/>
        </w:rPr>
      </w:pPr>
      <w:r w:rsidRPr="001A3376">
        <w:rPr>
          <w:rFonts w:eastAsia="Times New Roman" w:cstheme="minorHAnsi"/>
          <w:b/>
          <w:bCs/>
          <w:color w:val="000000"/>
        </w:rPr>
        <w:t>Fits with WP08 D8.2</w:t>
      </w:r>
    </w:p>
    <w:p w14:paraId="57ED6C00"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Urban Health Data - Learning and Training, due M22, which is end March 2024.</w:t>
      </w:r>
    </w:p>
    <w:p w14:paraId="4A552EDD"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 xml:space="preserve">A) Implementation of a workshop discussing the FAIR and CARE dimensions in data provenance that also allows mapping, gathering, and connecting researchers and data initiatives working with urban data systems across regions. Potential participants ARISE project (Accountability in Urban Health) working on urban health in countries from </w:t>
      </w:r>
      <w:proofErr w:type="gramStart"/>
      <w:r w:rsidRPr="001A3376">
        <w:rPr>
          <w:rFonts w:eastAsia="Times New Roman" w:cstheme="minorHAnsi"/>
          <w:color w:val="000000"/>
        </w:rPr>
        <w:t>South East</w:t>
      </w:r>
      <w:proofErr w:type="gramEnd"/>
      <w:r w:rsidRPr="001A3376">
        <w:rPr>
          <w:rFonts w:eastAsia="Times New Roman" w:cstheme="minorHAnsi"/>
          <w:color w:val="000000"/>
        </w:rPr>
        <w:t xml:space="preserve"> Asia, and </w:t>
      </w:r>
      <w:proofErr w:type="spellStart"/>
      <w:r w:rsidRPr="001A3376">
        <w:rPr>
          <w:rFonts w:eastAsia="Times New Roman" w:cstheme="minorHAnsi"/>
          <w:color w:val="000000"/>
        </w:rPr>
        <w:t>CitieS</w:t>
      </w:r>
      <w:proofErr w:type="spellEnd"/>
      <w:r w:rsidRPr="001A3376">
        <w:rPr>
          <w:rFonts w:eastAsia="Times New Roman" w:cstheme="minorHAnsi"/>
          <w:color w:val="000000"/>
        </w:rPr>
        <w:t xml:space="preserve"> Health and The Institute for Future Cities working with cities within Europe and in collaboration with other countries in Africa and Latin America. (M18), and B) Development of training materials shaped through the workshop (D8.2a) &amp; documentation guidelines (D8.1a) Co-designed with participants of the pilot project (M22)</w:t>
      </w:r>
    </w:p>
    <w:p w14:paraId="40F3BF95" w14:textId="77777777" w:rsidR="001A3376" w:rsidRPr="001A3376" w:rsidRDefault="001A3376" w:rsidP="001A3376">
      <w:pPr>
        <w:spacing w:after="0" w:line="240" w:lineRule="auto"/>
        <w:rPr>
          <w:rFonts w:eastAsia="Times New Roman" w:cstheme="minorHAnsi"/>
          <w:color w:val="000000"/>
        </w:rPr>
      </w:pPr>
    </w:p>
    <w:p w14:paraId="6209952A" w14:textId="77777777" w:rsidR="001A3376" w:rsidRPr="001A3376" w:rsidRDefault="001A3376" w:rsidP="001A3376">
      <w:pPr>
        <w:spacing w:after="0" w:line="240" w:lineRule="auto"/>
        <w:rPr>
          <w:rFonts w:eastAsia="Times New Roman" w:cstheme="minorHAnsi"/>
          <w:b/>
          <w:bCs/>
          <w:color w:val="000000"/>
        </w:rPr>
      </w:pPr>
      <w:r w:rsidRPr="001A3376">
        <w:rPr>
          <w:rFonts w:eastAsia="Times New Roman" w:cstheme="minorHAnsi"/>
          <w:b/>
          <w:bCs/>
          <w:color w:val="000000"/>
        </w:rPr>
        <w:t>WP08 D8.1</w:t>
      </w:r>
    </w:p>
    <w:p w14:paraId="24AC4486" w14:textId="77777777" w:rsidR="001A3376" w:rsidRPr="001A3376" w:rsidRDefault="001A3376" w:rsidP="001A3376">
      <w:pPr>
        <w:spacing w:after="0" w:line="240" w:lineRule="auto"/>
        <w:rPr>
          <w:rFonts w:eastAsia="Times New Roman" w:cstheme="minorHAnsi"/>
          <w:color w:val="000000"/>
        </w:rPr>
      </w:pPr>
      <w:r w:rsidRPr="001A3376">
        <w:rPr>
          <w:rFonts w:eastAsia="Times New Roman" w:cstheme="minorHAnsi"/>
          <w:color w:val="000000"/>
        </w:rPr>
        <w:t>Urban Health Data - Guidelines and Recommendations, due M12, so end May 2023.</w:t>
      </w:r>
    </w:p>
    <w:p w14:paraId="4A94A793" w14:textId="7FCDA177" w:rsidR="001A3376" w:rsidRPr="001A3376" w:rsidRDefault="001A3376" w:rsidP="001A3376">
      <w:pPr>
        <w:spacing w:after="0" w:line="240" w:lineRule="auto"/>
        <w:rPr>
          <w:rFonts w:cstheme="minorHAnsi"/>
        </w:rPr>
      </w:pPr>
      <w:r w:rsidRPr="001A3376">
        <w:rPr>
          <w:rFonts w:eastAsia="Times New Roman" w:cstheme="minorHAnsi"/>
          <w:color w:val="000000"/>
        </w:rPr>
        <w:t>Publication documenting the cross-domain challenges in the harmonization of National Health Surveys across Latin American countries that led to the establishment of a set of guidelines and recommendations for FAIR practices in data harmonization, use and sharing, as well as in data provenance, that could guide governments carrying out these surveys in future data collection</w:t>
      </w:r>
    </w:p>
    <w:sectPr w:rsidR="001A3376" w:rsidRPr="001A3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E125E"/>
    <w:multiLevelType w:val="hybridMultilevel"/>
    <w:tmpl w:val="CB82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C7309"/>
    <w:multiLevelType w:val="hybridMultilevel"/>
    <w:tmpl w:val="DCF0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A1616"/>
    <w:multiLevelType w:val="hybridMultilevel"/>
    <w:tmpl w:val="049A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A70DA"/>
    <w:multiLevelType w:val="hybridMultilevel"/>
    <w:tmpl w:val="6598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F26A1"/>
    <w:multiLevelType w:val="hybridMultilevel"/>
    <w:tmpl w:val="48181F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1400D30"/>
    <w:multiLevelType w:val="hybridMultilevel"/>
    <w:tmpl w:val="3258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0B2658"/>
    <w:multiLevelType w:val="hybridMultilevel"/>
    <w:tmpl w:val="78605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A4E8B"/>
    <w:multiLevelType w:val="multilevel"/>
    <w:tmpl w:val="01DE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352350">
    <w:abstractNumId w:val="7"/>
  </w:num>
  <w:num w:numId="2" w16cid:durableId="70321390">
    <w:abstractNumId w:val="4"/>
  </w:num>
  <w:num w:numId="3" w16cid:durableId="2115207075">
    <w:abstractNumId w:val="5"/>
  </w:num>
  <w:num w:numId="4" w16cid:durableId="767116322">
    <w:abstractNumId w:val="1"/>
  </w:num>
  <w:num w:numId="5" w16cid:durableId="48382186">
    <w:abstractNumId w:val="0"/>
  </w:num>
  <w:num w:numId="6" w16cid:durableId="1236478660">
    <w:abstractNumId w:val="6"/>
  </w:num>
  <w:num w:numId="7" w16cid:durableId="648679588">
    <w:abstractNumId w:val="2"/>
  </w:num>
  <w:num w:numId="8" w16cid:durableId="13871401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43"/>
    <w:rsid w:val="001A3376"/>
    <w:rsid w:val="001F2F4B"/>
    <w:rsid w:val="00666143"/>
    <w:rsid w:val="007C54F9"/>
    <w:rsid w:val="00BA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94F9"/>
  <w15:chartTrackingRefBased/>
  <w15:docId w15:val="{E9B1C4B0-0F2C-4A71-823B-464D5312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33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33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A3376"/>
    <w:rPr>
      <w:color w:val="0000FF"/>
      <w:u w:val="single"/>
    </w:rPr>
  </w:style>
  <w:style w:type="character" w:customStyle="1" w:styleId="Heading1Char">
    <w:name w:val="Heading 1 Char"/>
    <w:basedOn w:val="DefaultParagraphFont"/>
    <w:link w:val="Heading1"/>
    <w:uiPriority w:val="9"/>
    <w:rsid w:val="001A33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33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A3376"/>
    <w:pPr>
      <w:ind w:left="720"/>
      <w:contextualSpacing/>
    </w:pPr>
  </w:style>
  <w:style w:type="character" w:styleId="UnresolvedMention">
    <w:name w:val="Unresolved Mention"/>
    <w:basedOn w:val="DefaultParagraphFont"/>
    <w:uiPriority w:val="99"/>
    <w:semiHidden/>
    <w:unhideWhenUsed/>
    <w:rsid w:val="001A3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75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library.arizona.edu/data-management/nih-data-management-sharing-policy-20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4103</TotalTime>
  <Pages>3</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Ortigoza,Ana</dc:creator>
  <cp:keywords/>
  <dc:description/>
  <cp:lastModifiedBy>Ortigoza,Ana</cp:lastModifiedBy>
  <cp:revision>1</cp:revision>
  <dcterms:created xsi:type="dcterms:W3CDTF">2023-01-06T20:21:00Z</dcterms:created>
  <dcterms:modified xsi:type="dcterms:W3CDTF">2023-01-09T20:25:00Z</dcterms:modified>
</cp:coreProperties>
</file>