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Aislar información por empresa.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HU04 Aislar información por empresa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MT-EP00-HU04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REQ-MT-04 / EP-00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Administrador de empresa / Usuario de la empresa con permiso de construcción de malla (coordinador/supervisora según rol), quiero que toda la información de Malla de Turnos pertenezca únicamente a mi empresa, para impedir fugas de datos entre tenants.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Administrador de empresa /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MT-EP00-HU01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aislar información por empresa.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un usuario de la empresa B lista frentes o mallas.</w:t>
            </w:r>
          </w:p>
          <w:p>
            <w:pPr/>
            <w:r>
              <w:t xml:space="preserve">   Sistema: Entonces no ve datos de A.</w:t>
            </w:r>
          </w:p>
          <w:p>
            <w:pPr/>
            <w:r/>
          </w:p>
          <w:p>
            <w:pPr/>
            <w:r>
              <w:t>Resultado esperado: Aislar información por empresa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«Aislar información por empresa»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Lectura aislada: dado que la empresa A tiene frentes y mallas, cuando un usuario de la empresa B lista frentes o mallas, entonces no ve datos de A.</w:t>
            </w:r>
          </w:p>
          <w:p>
            <w:pPr/>
            <w:r>
              <w:t>2. Escritura aislada: dado que un usuario autenticado en empresa A, cuando intenta crear un recurso indicando empresa B en el cuerpo, entonces el sistema ignora ese valor y persiste solo bajo A, o rechaza la petición.</w:t>
            </w:r>
          </w:p>
          <w:p>
            <w:pPr/>
            <w:r>
              <w:t>3. Empleados: dado que se seleccionan funcionarios para una malla, cuando se listan candidatos, entonces solo aparecen empleados de la misma empresa.</w:t>
            </w:r>
          </w:p>
          <w:p>
            <w:pPr/>
            <w:r>
              <w:t>4. Reportes: dado que se exporta un reporte, cuando se genera el archivo, entonces solo incluye datos de la empresa del usuario.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El identificador de empresa proviene del contexto autenticado; no se confía en el valor enviado por el cliente como fuente de verdad.</w:t>
            </w:r>
          </w:p>
          <w:p>
            <w:pPr/>
            <w:r>
              <w:t>RN-02. Todas las consultas y escrituras están filtradas por empresa.</w:t>
            </w:r>
          </w:p>
          <w:p>
            <w:pPr/>
            <w:r>
              <w:t>RN-03. Catálogos, mallas, reglas, solicitudes de intercambio y exportaciones son tenant-scoped.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Esta historia no captura datos propios de formulario. El alcance y la empresa provienen del contexto autenticado.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 aplica captura de formulario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MT-EP00-HU04 — PRY - HU04 Aislar información por empresa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