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Registrar event types de notificación y línea de tiempo de auditoría para Malla.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HU07 Registrar event types de notificación y línea de tiempo de auditoría para Malla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MT-EP00-HU07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REQ-MT-07 / EP-00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Super-administrador de la plataforma GRH o equipo de plataforma, quiero registrar los tipos de evento de notificación y de línea de tiempo de auditoría que usará Malla, para reutilizar infraestructura de notificaciones de GRH y auditoría GRH sin mailers ni logs paralelos.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Super-administrador de la plataforma GRH  o equipo de plataforma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MT-EP00-HU01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registrar event types de notificación y línea de tiempo de auditoría para malla.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se consultan en el catálogo de notificaciones.</w:t>
            </w:r>
          </w:p>
          <w:p>
            <w:pPr/>
            <w:r>
              <w:t xml:space="preserve">   Sistema: Entonces existen los códigos definidos para publicación, cambio, novedad e intercambio.</w:t>
            </w:r>
          </w:p>
          <w:p>
            <w:pPr/>
            <w:r/>
          </w:p>
          <w:p>
            <w:pPr/>
            <w:r>
              <w:t>Resultado esperado: Registrar event types de notificación y línea de tiempo de auditoría para Malla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«Registrar event types de notificación y línea de tiempo de auditoría para Malla»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Registro: dado que se despliegan los event types de Malla, cuando se consultan en el catálogo de notificaciones, entonces existen los códigos definidos para publicación, cambio, novedad e intercambio.</w:t>
            </w:r>
          </w:p>
          <w:p>
            <w:pPr/>
            <w:r>
              <w:t>2. Publicación: dado que se publica una malla, cuando el flujo termina OK, entonces se despacha el evento de publicación a los destinatarios configurados.</w:t>
            </w:r>
          </w:p>
          <w:p>
            <w:pPr/>
            <w:r>
              <w:t>3. Timeline: dado que ocurre un cambio relevante de celda o publicación, cuando se consulta línea de tiempo de auditoría, entonces existe el hecho de negocio correspondiente.</w:t>
            </w:r>
          </w:p>
          <w:p>
            <w:pPr/>
            <w:r>
              <w:t>4. Idempotencia: dado que el mismo evento se reintenta con la misma clave, cuando se procesa el reintento, entonces no se duplica la notificación al destinatario.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Malla no envía correo directo; despacha eventos al servicio de notificaciones.</w:t>
            </w:r>
          </w:p>
          <w:p>
            <w:pPr/>
            <w:r>
              <w:t>RN-02. Los hechos de alto nivel van a línea de tiempo de auditoría; el detalle de celda vive en historial de dominio (HU62).</w:t>
            </w:r>
          </w:p>
          <w:p>
            <w:pPr/>
            <w:r>
              <w:t>RN-03. Los despachos deben ser idempotentes por clave de evento de negocio.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 de evento de notificación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del tipo de evento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del evento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visible del evento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Descripción del evento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Detalle del evento de notificación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el evento está habilitado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MT-EP00-HU07 — PRY - HU07 Registrar event types de notificación y línea de tiempo de auditoría para Malla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