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Usar festivos del calendario de empresa.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HU20 Usar festivos del calendario de empresa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MT-EP01-HU20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REQ-MT-20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 (coordinador/supervisora según rol), quiero considerar los festivos definidos en el calendario GRH de la empresa al programar y calcular horas, para no duplicar calendarios.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MT-EP00-HU05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MT-EP01-HU22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usar festivos del calendario de empresa.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se visualiza el día en malla.</w:t>
            </w:r>
          </w:p>
          <w:p>
            <w:pPr/>
            <w:r>
              <w:t xml:space="preserve">   Sistema: Entonces se identifica como festivo.</w:t>
            </w:r>
          </w:p>
          <w:p>
            <w:pPr/>
            <w:r/>
          </w:p>
          <w:p>
            <w:pPr/>
            <w:r>
              <w:t>Resultado esperado: Usar festivos del calendario de empresa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«Usar festivos del calendario de empresa»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Lectura: dado que hay festivo en calendario empresa, cuando se visualiza el día en malla, entonces se identifica como festivo.</w:t>
            </w:r>
          </w:p>
          <w:p>
            <w:pPr/>
            <w:r>
              <w:t>2. Horas: dado que existen reglas de tipo hora festiva, cuando se calcula el día festivo, entonces se clasifica según reglas HU22/HU70.</w:t>
            </w:r>
          </w:p>
          <w:p>
            <w:pPr/>
            <w:r>
              <w:t>3. Tenant: dado que festivos de otra empresa, cuando consulta, entonces no aplican.</w:t>
            </w:r>
          </w:p>
          <w:p>
            <w:pPr/>
            <w:r>
              <w:t>4. Sin calendario: dado que empresa sin festivos cargados, cuando opera malla, entonces no inventa festivos.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Fuente de verdad de festivos = calendario de empresa GRH.</w:t>
            </w:r>
          </w:p>
          <w:p>
            <w:pPr/>
            <w:r>
              <w:t>RN-02. Malla no mantiene un calendario paralelo de festivos.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Año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4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Número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Año del calendario de festivos a consultar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festivo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aportada por el calendario de empresa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festivo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del festivo consultado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MT-EP01-HU20 — PRY - HU20 Usar festivos del calendario de empresa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