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Vincular patrón de rotación a grupo y periodo.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HU47 Vincular patrón de rotación a grupo y periodo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MT-EP03-HU47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REQ-MT-47 / EP-03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construcción de malla, quiero asociar un patrón a una malla o subconjunto de personas y un rango de fechas, para preparar la simulación/aplicación controlada.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construcción de malla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MT-EP03-HU46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2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MT-EP01-HU10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3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MT-EP02-HU29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vincular patrón de rotación a grupo y periodo.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asocia a grupo/fechas.</w:t>
            </w:r>
          </w:p>
          <w:p>
            <w:pPr/>
            <w:r>
              <w:t xml:space="preserve">   Sistema: Entonces queda listo para simular.</w:t>
            </w:r>
          </w:p>
          <w:p>
            <w:pPr/>
            <w:r/>
          </w:p>
          <w:p>
            <w:pPr/>
            <w:r>
              <w:t>Resultado esperado: Vincular patrón de rotación a grupo y periodo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«Vincular patrón de rotación a grupo y periodo»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Vínculo: dado que patrón activo y estrategia permite, cuando asocia a grupo/fechas, entonces queda listo para simular.</w:t>
            </w:r>
          </w:p>
          <w:p>
            <w:pPr/>
            <w:r>
              <w:t>2. Estrategia manual: dado que frente manual, cuando intenta vincular auto, entonces acción no disponible.</w:t>
            </w:r>
          </w:p>
          <w:p>
            <w:pPr/>
            <w:r>
              <w:t>3. Alcance: dado que personas fuera de malla, cuando asocia, entonces rechaza.</w:t>
            </w:r>
          </w:p>
          <w:p>
            <w:pPr/>
            <w:r>
              <w:t>4. Tenant: dado que patrón otra empresa, cuando rechaza, entonces OK.</w:t>
            </w:r>
          </w:p>
          <w:p>
            <w:pPr/>
            <w:r>
              <w:t>5. Solo se muestran o modifican datos de la empresa del usuario autenticado.</w:t>
            </w:r>
          </w:p>
          <w:p>
            <w:pPr/>
            <w:r>
              <w:t>6.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Solo si la estrategia del frente es asistida o automática.</w:t>
            </w:r>
          </w:p>
          <w:p>
            <w:pPr/>
            <w:r>
              <w:t>RN-02. El vínculo no modifica celdas hasta aplicar (HU50) tras simulación (HU48).</w:t>
            </w:r>
          </w:p>
          <w:p>
            <w:pPr/>
            <w:r>
              <w:t>RN-03. No se hardcodean frentes, turnos, estados, sitios, campañas, umbrales de horas ni reglas de compensatorio en el producto.</w:t>
            </w:r>
          </w:p>
          <w:p>
            <w:pPr/>
            <w:r>
              <w:t>RN-04.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Patrón de rotación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Patrón a vincular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Malla / periodo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Periodo destino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Grupo de funcionarios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Personas incluidas en la rotación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 de anclaje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 desde la cual inicia el patrón</w:t>
                  </w:r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MT-EP03-HU47 — PRY - HU47 Vincular patrón de rotación a grupo y periodo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